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F468A" w14:textId="31D3683B" w:rsidR="00CC19E9" w:rsidRDefault="00B94F72" w:rsidP="0030737F">
      <w:pPr>
        <w:jc w:val="left"/>
        <w:rPr>
          <w:b/>
          <w:bCs/>
        </w:rPr>
      </w:pPr>
      <w:bookmarkStart w:id="0" w:name="OLE_LINK1"/>
      <w:r>
        <w:rPr>
          <w:noProof/>
        </w:rPr>
        <w:drawing>
          <wp:anchor distT="0" distB="0" distL="114300" distR="114300" simplePos="0" relativeHeight="251662336" behindDoc="0" locked="0" layoutInCell="1" allowOverlap="1" wp14:anchorId="6053AAE4" wp14:editId="6348A544">
            <wp:simplePos x="0" y="0"/>
            <wp:positionH relativeFrom="margin">
              <wp:align>right</wp:align>
            </wp:positionH>
            <wp:positionV relativeFrom="paragraph">
              <wp:posOffset>-796290</wp:posOffset>
            </wp:positionV>
            <wp:extent cx="2075180" cy="8983980"/>
            <wp:effectExtent l="0" t="0" r="1270" b="7620"/>
            <wp:wrapNone/>
            <wp:docPr id="10268493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49374"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180" cy="8983980"/>
                    </a:xfrm>
                    <a:prstGeom prst="rect">
                      <a:avLst/>
                    </a:prstGeom>
                    <a:noFill/>
                  </pic:spPr>
                </pic:pic>
              </a:graphicData>
            </a:graphic>
            <wp14:sizeRelH relativeFrom="margin">
              <wp14:pctWidth>0</wp14:pctWidth>
            </wp14:sizeRelH>
            <wp14:sizeRelV relativeFrom="margin">
              <wp14:pctHeight>0</wp14:pctHeight>
            </wp14:sizeRelV>
          </wp:anchor>
        </w:drawing>
      </w:r>
    </w:p>
    <w:p w14:paraId="3141F945" w14:textId="4A5C2FFD" w:rsidR="00CC19E9" w:rsidRPr="00CC19E9" w:rsidRDefault="00EC7DCE" w:rsidP="0030737F">
      <w:pPr>
        <w:tabs>
          <w:tab w:val="left" w:pos="4995"/>
        </w:tabs>
        <w:jc w:val="left"/>
      </w:pPr>
      <w:bookmarkStart w:id="1" w:name="_Hlk192510439"/>
      <w:bookmarkEnd w:id="1"/>
      <w:r>
        <w:tab/>
      </w:r>
    </w:p>
    <w:p w14:paraId="4B049D70" w14:textId="01FAE3DD" w:rsidR="00CC19E9" w:rsidRDefault="00CC19E9" w:rsidP="0030737F">
      <w:pPr>
        <w:jc w:val="left"/>
      </w:pPr>
    </w:p>
    <w:p w14:paraId="7C5CBC86" w14:textId="77777777" w:rsidR="00840BFF" w:rsidRDefault="00840BFF" w:rsidP="0030737F">
      <w:pPr>
        <w:jc w:val="left"/>
      </w:pPr>
    </w:p>
    <w:p w14:paraId="70C9E79A" w14:textId="77777777" w:rsidR="00EF4436" w:rsidRDefault="00EF4436" w:rsidP="0030737F">
      <w:pPr>
        <w:jc w:val="left"/>
      </w:pPr>
    </w:p>
    <w:p w14:paraId="34F51504" w14:textId="77777777" w:rsidR="00C1719B" w:rsidRDefault="00C1719B" w:rsidP="0030737F">
      <w:pPr>
        <w:jc w:val="left"/>
      </w:pPr>
    </w:p>
    <w:p w14:paraId="1D0F9D86" w14:textId="77777777" w:rsidR="00C1719B" w:rsidRDefault="00C1719B" w:rsidP="0030737F">
      <w:pPr>
        <w:jc w:val="left"/>
      </w:pPr>
    </w:p>
    <w:p w14:paraId="4F665B97" w14:textId="38A00AEB" w:rsidR="00B96FEB" w:rsidRPr="00C1719B" w:rsidRDefault="00EF4436" w:rsidP="00C1719B">
      <w:pPr>
        <w:jc w:val="left"/>
        <w:rPr>
          <w:b/>
          <w:bCs/>
          <w:sz w:val="44"/>
          <w:szCs w:val="44"/>
        </w:rPr>
      </w:pPr>
      <w:r w:rsidRPr="00C1719B">
        <w:rPr>
          <w:b/>
          <w:bCs/>
          <w:sz w:val="44"/>
          <w:szCs w:val="44"/>
        </w:rPr>
        <w:t>Polk County</w:t>
      </w:r>
      <w:r w:rsidR="002447D4" w:rsidRPr="00C1719B">
        <w:rPr>
          <w:b/>
          <w:bCs/>
          <w:sz w:val="44"/>
          <w:szCs w:val="44"/>
        </w:rPr>
        <w:t xml:space="preserve"> </w:t>
      </w:r>
      <w:r w:rsidRPr="00C1719B">
        <w:rPr>
          <w:b/>
          <w:bCs/>
          <w:sz w:val="44"/>
          <w:szCs w:val="44"/>
        </w:rPr>
        <w:t>Infant-Toddler Court</w:t>
      </w:r>
    </w:p>
    <w:p w14:paraId="67D5487D" w14:textId="6ECF9DEE" w:rsidR="00C1719B" w:rsidRPr="00C1719B" w:rsidRDefault="00EF4436" w:rsidP="00C1719B">
      <w:pPr>
        <w:jc w:val="left"/>
        <w:rPr>
          <w:b/>
          <w:bCs/>
          <w:sz w:val="44"/>
          <w:szCs w:val="44"/>
        </w:rPr>
      </w:pPr>
      <w:r w:rsidRPr="00C1719B">
        <w:rPr>
          <w:b/>
          <w:bCs/>
          <w:sz w:val="44"/>
          <w:szCs w:val="44"/>
        </w:rPr>
        <w:t>Program</w:t>
      </w:r>
      <w:r w:rsidR="002447D4" w:rsidRPr="00C1719B">
        <w:rPr>
          <w:b/>
          <w:bCs/>
          <w:sz w:val="44"/>
          <w:szCs w:val="44"/>
        </w:rPr>
        <w:t>:</w:t>
      </w:r>
      <w:r w:rsidR="00C1719B" w:rsidRPr="00C1719B">
        <w:rPr>
          <w:b/>
          <w:bCs/>
          <w:sz w:val="44"/>
          <w:szCs w:val="44"/>
        </w:rPr>
        <w:t xml:space="preserve"> </w:t>
      </w:r>
      <w:r w:rsidR="002447D4" w:rsidRPr="00C1719B">
        <w:rPr>
          <w:b/>
          <w:bCs/>
          <w:sz w:val="44"/>
          <w:szCs w:val="44"/>
        </w:rPr>
        <w:t>Local Evaluation Report</w:t>
      </w:r>
    </w:p>
    <w:p w14:paraId="46DB81B6" w14:textId="1F82987C" w:rsidR="00EF4436" w:rsidRPr="00C1719B" w:rsidRDefault="00C1719B" w:rsidP="00C1719B">
      <w:pPr>
        <w:jc w:val="left"/>
        <w:rPr>
          <w:b/>
          <w:bCs/>
          <w:sz w:val="44"/>
          <w:szCs w:val="44"/>
        </w:rPr>
      </w:pPr>
      <w:r w:rsidRPr="00C1719B">
        <w:rPr>
          <w:b/>
          <w:bCs/>
          <w:sz w:val="44"/>
          <w:szCs w:val="44"/>
        </w:rPr>
        <w:t xml:space="preserve">                  </w:t>
      </w:r>
      <w:r w:rsidR="002447D4" w:rsidRPr="00C1719B">
        <w:rPr>
          <w:b/>
          <w:bCs/>
          <w:sz w:val="44"/>
          <w:szCs w:val="44"/>
        </w:rPr>
        <w:t>(</w:t>
      </w:r>
      <w:proofErr w:type="gramStart"/>
      <w:r w:rsidR="002447D4" w:rsidRPr="00C1719B">
        <w:rPr>
          <w:b/>
          <w:bCs/>
          <w:sz w:val="44"/>
          <w:szCs w:val="44"/>
        </w:rPr>
        <w:t>April,</w:t>
      </w:r>
      <w:proofErr w:type="gramEnd"/>
      <w:r w:rsidR="002447D4" w:rsidRPr="00C1719B">
        <w:rPr>
          <w:b/>
          <w:bCs/>
          <w:sz w:val="44"/>
          <w:szCs w:val="44"/>
        </w:rPr>
        <w:t xml:space="preserve"> 2026)</w:t>
      </w:r>
    </w:p>
    <w:p w14:paraId="3C692D50" w14:textId="2232006D" w:rsidR="004D60BC" w:rsidRDefault="008249C4" w:rsidP="00C1719B">
      <w:pPr>
        <w:jc w:val="left"/>
        <w:rPr>
          <w:b/>
          <w:bCs/>
        </w:rPr>
      </w:pPr>
      <w:r>
        <w:rPr>
          <w:b/>
          <w:bCs/>
          <w:sz w:val="32"/>
          <w:szCs w:val="32"/>
        </w:rPr>
        <w:t xml:space="preserve">      </w:t>
      </w:r>
    </w:p>
    <w:p w14:paraId="4AA6E403" w14:textId="77777777" w:rsidR="004D60BC" w:rsidRDefault="004D60BC" w:rsidP="004D60BC">
      <w:pPr>
        <w:jc w:val="right"/>
        <w:rPr>
          <w:b/>
          <w:bCs/>
        </w:rPr>
      </w:pPr>
    </w:p>
    <w:p w14:paraId="58A430E1" w14:textId="77777777" w:rsidR="004D60BC" w:rsidRDefault="004D60BC" w:rsidP="004D60BC">
      <w:pPr>
        <w:jc w:val="right"/>
        <w:rPr>
          <w:b/>
          <w:bCs/>
        </w:rPr>
      </w:pPr>
    </w:p>
    <w:p w14:paraId="08A1F1C3" w14:textId="1A5C9B49" w:rsidR="004D60BC" w:rsidRDefault="000852AA" w:rsidP="004D60BC">
      <w:pPr>
        <w:jc w:val="right"/>
        <w:rPr>
          <w:b/>
          <w:bCs/>
        </w:rPr>
      </w:pPr>
      <w:r>
        <w:rPr>
          <w:b/>
          <w:bCs/>
        </w:rPr>
        <w:t>f</w:t>
      </w:r>
    </w:p>
    <w:p w14:paraId="5A884667" w14:textId="77777777" w:rsidR="004D60BC" w:rsidRDefault="004D60BC" w:rsidP="004D60BC">
      <w:pPr>
        <w:jc w:val="right"/>
        <w:rPr>
          <w:b/>
          <w:bCs/>
        </w:rPr>
      </w:pPr>
    </w:p>
    <w:p w14:paraId="13D45A26" w14:textId="77777777" w:rsidR="004D60BC" w:rsidRDefault="004D60BC" w:rsidP="004D60BC">
      <w:pPr>
        <w:jc w:val="right"/>
        <w:rPr>
          <w:b/>
          <w:bCs/>
        </w:rPr>
      </w:pPr>
    </w:p>
    <w:p w14:paraId="2BA5E32C" w14:textId="77777777" w:rsidR="004D60BC" w:rsidRDefault="004D60BC" w:rsidP="004D60BC">
      <w:pPr>
        <w:jc w:val="right"/>
        <w:rPr>
          <w:b/>
          <w:bCs/>
        </w:rPr>
      </w:pPr>
    </w:p>
    <w:p w14:paraId="6CE48ED3" w14:textId="06F01EB5" w:rsidR="004D60BC" w:rsidRDefault="004D60BC" w:rsidP="004D60BC">
      <w:pPr>
        <w:jc w:val="right"/>
        <w:rPr>
          <w:b/>
          <w:bCs/>
        </w:rPr>
      </w:pPr>
    </w:p>
    <w:p w14:paraId="6D4BE82D" w14:textId="07FB895A" w:rsidR="00F21957" w:rsidRDefault="00F21957" w:rsidP="004D60BC">
      <w:pPr>
        <w:jc w:val="right"/>
        <w:rPr>
          <w:b/>
          <w:bCs/>
        </w:rPr>
      </w:pPr>
    </w:p>
    <w:p w14:paraId="5001BC63" w14:textId="0676A731" w:rsidR="00F21957" w:rsidRDefault="00AA2A1E" w:rsidP="004D60BC">
      <w:pPr>
        <w:jc w:val="right"/>
        <w:rPr>
          <w:b/>
          <w:bCs/>
        </w:rPr>
      </w:pPr>
      <w:r>
        <w:rPr>
          <w:noProof/>
        </w:rPr>
        <mc:AlternateContent>
          <mc:Choice Requires="wps">
            <w:drawing>
              <wp:anchor distT="0" distB="0" distL="114300" distR="114300" simplePos="0" relativeHeight="251663360" behindDoc="0" locked="0" layoutInCell="1" allowOverlap="1" wp14:anchorId="673DF40C" wp14:editId="2DB55327">
                <wp:simplePos x="0" y="0"/>
                <wp:positionH relativeFrom="column">
                  <wp:posOffset>5166360</wp:posOffset>
                </wp:positionH>
                <wp:positionV relativeFrom="paragraph">
                  <wp:posOffset>5055870</wp:posOffset>
                </wp:positionV>
                <wp:extent cx="1600200" cy="2514600"/>
                <wp:effectExtent l="3810" t="0" r="0" b="1905"/>
                <wp:wrapNone/>
                <wp:docPr id="12979337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3794" w14:textId="77777777" w:rsidR="00AA2A1E" w:rsidRDefault="00AA2A1E">
                            <w:pPr>
                              <w:pStyle w:val="BodyText"/>
                              <w:rPr>
                                <w:rFonts w:ascii="Tahoma" w:hAnsi="Tahoma" w:cs="Tahoma"/>
                                <w:sz w:val="26"/>
                              </w:rPr>
                            </w:pPr>
                            <w:bookmarkStart w:id="2" w:name="_Hlk226559262"/>
                            <w:bookmarkEnd w:id="2"/>
                            <w:r>
                              <w:rPr>
                                <w:rFonts w:ascii="Tahoma" w:hAnsi="Tahoma" w:cs="Tahoma"/>
                                <w:sz w:val="26"/>
                              </w:rPr>
                              <w:t>the</w:t>
                            </w:r>
                          </w:p>
                          <w:p w14:paraId="212FF019" w14:textId="77777777" w:rsidR="00AA2A1E" w:rsidRDefault="00AA2A1E">
                            <w:pPr>
                              <w:pStyle w:val="BodyText"/>
                              <w:rPr>
                                <w:rFonts w:ascii="Tahoma" w:hAnsi="Tahoma" w:cs="Tahoma"/>
                                <w:sz w:val="26"/>
                              </w:rPr>
                            </w:pPr>
                            <w:r>
                              <w:rPr>
                                <w:rFonts w:ascii="Tahoma" w:hAnsi="Tahoma" w:cs="Tahoma"/>
                                <w:sz w:val="26"/>
                              </w:rPr>
                              <w:t>National Resource Center</w:t>
                            </w:r>
                          </w:p>
                          <w:p w14:paraId="471AC5EC" w14:textId="77777777" w:rsidR="00AA2A1E" w:rsidRDefault="00AA2A1E">
                            <w:pPr>
                              <w:pStyle w:val="BodyText"/>
                              <w:rPr>
                                <w:rFonts w:ascii="Tahoma" w:hAnsi="Tahoma" w:cs="Tahoma"/>
                              </w:rPr>
                            </w:pPr>
                            <w:r>
                              <w:rPr>
                                <w:rFonts w:ascii="Tahoma" w:hAnsi="Tahoma" w:cs="Tahoma"/>
                              </w:rPr>
                              <w:t>for</w:t>
                            </w:r>
                          </w:p>
                          <w:p w14:paraId="6927DC94" w14:textId="77777777" w:rsidR="00AA2A1E" w:rsidRDefault="00AA2A1E">
                            <w:pPr>
                              <w:pStyle w:val="BodyText2"/>
                              <w:rPr>
                                <w:rFonts w:ascii="Tahoma" w:hAnsi="Tahoma" w:cs="Tahoma"/>
                                <w:sz w:val="18"/>
                              </w:rPr>
                            </w:pPr>
                            <w:r>
                              <w:rPr>
                                <w:rFonts w:ascii="Tahoma" w:hAnsi="Tahoma" w:cs="Tahoma"/>
                                <w:sz w:val="26"/>
                              </w:rPr>
                              <w:t>Family Centered Practice</w:t>
                            </w:r>
                          </w:p>
                          <w:p w14:paraId="3945FE8B" w14:textId="77777777" w:rsidR="00AA2A1E" w:rsidRDefault="00AA2A1E">
                            <w:pPr>
                              <w:pStyle w:val="BodyText2"/>
                              <w:rPr>
                                <w:rFonts w:ascii="Tahoma" w:hAnsi="Tahoma" w:cs="Tahoma"/>
                                <w:sz w:val="16"/>
                              </w:rPr>
                            </w:pPr>
                          </w:p>
                          <w:p w14:paraId="4D430019" w14:textId="77777777" w:rsidR="00AA2A1E" w:rsidRDefault="004E53C6">
                            <w:pPr>
                              <w:ind w:left="-180"/>
                              <w:rPr>
                                <w:rFonts w:ascii="Tahoma" w:hAnsi="Tahoma" w:cs="Tahoma"/>
                                <w:color w:val="FFFFFF"/>
                              </w:rPr>
                            </w:pPr>
                            <w:r>
                              <w:rPr>
                                <w:noProof/>
                              </w:rPr>
                              <w:object w:dxaOrig="733" w:dyaOrig="653" w14:anchorId="4445A106">
                                <v:shape id="_x0000_i1030" type="#_x0000_t75" alt="" style="width:36.75pt;height:33pt;mso-width-percent:0;mso-height-percent:0;mso-width-percent:0;mso-height-percent:0" fillcolor="black">
                                  <v:imagedata r:id="rId12" o:title="" croptop="4003f" cropbottom="3002f" cropright="7302f" grayscale="t"/>
                                </v:shape>
                                <o:OLEObject Type="Embed" ProgID="Unknown" ShapeID="_x0000_i1030" DrawAspect="Content" ObjectID="_1837593250" r:id="rId13"/>
                              </w:object>
                            </w:r>
                          </w:p>
                          <w:p w14:paraId="1E67A49D" w14:textId="77777777" w:rsidR="00AA2A1E" w:rsidRDefault="00AA2A1E">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DF40C" id="_x0000_t202" coordsize="21600,21600" o:spt="202" path="m,l,21600r21600,l21600,xe">
                <v:stroke joinstyle="miter"/>
                <v:path gradientshapeok="t" o:connecttype="rect"/>
              </v:shapetype>
              <v:shape id="Text Box 4" o:spid="_x0000_s1026" type="#_x0000_t202" style="position:absolute;left:0;text-align:left;margin-left:406.8pt;margin-top:398.1pt;width:126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" filled="f" stroked="f">
                <v:textbox>
                  <w:txbxContent>
                    <w:p w14:paraId="1A1B3794" w14:textId="77777777" w:rsidR="00AA2A1E" w:rsidRDefault="00AA2A1E">
                      <w:pPr>
                        <w:pStyle w:val="BodyText"/>
                        <w:rPr>
                          <w:rFonts w:ascii="Tahoma" w:hAnsi="Tahoma" w:cs="Tahoma"/>
                          <w:sz w:val="26"/>
                        </w:rPr>
                      </w:pPr>
                      <w:bookmarkStart w:id="3" w:name="_Hlk226559262"/>
                      <w:bookmarkEnd w:id="3"/>
                      <w:r>
                        <w:rPr>
                          <w:rFonts w:ascii="Tahoma" w:hAnsi="Tahoma" w:cs="Tahoma"/>
                          <w:sz w:val="26"/>
                        </w:rPr>
                        <w:t>the</w:t>
                      </w:r>
                    </w:p>
                    <w:p w14:paraId="212FF019" w14:textId="77777777" w:rsidR="00AA2A1E" w:rsidRDefault="00AA2A1E">
                      <w:pPr>
                        <w:pStyle w:val="BodyText"/>
                        <w:rPr>
                          <w:rFonts w:ascii="Tahoma" w:hAnsi="Tahoma" w:cs="Tahoma"/>
                          <w:sz w:val="26"/>
                        </w:rPr>
                      </w:pPr>
                      <w:r>
                        <w:rPr>
                          <w:rFonts w:ascii="Tahoma" w:hAnsi="Tahoma" w:cs="Tahoma"/>
                          <w:sz w:val="26"/>
                        </w:rPr>
                        <w:t>National Resource Center</w:t>
                      </w:r>
                    </w:p>
                    <w:p w14:paraId="471AC5EC" w14:textId="77777777" w:rsidR="00AA2A1E" w:rsidRDefault="00AA2A1E">
                      <w:pPr>
                        <w:pStyle w:val="BodyText"/>
                        <w:rPr>
                          <w:rFonts w:ascii="Tahoma" w:hAnsi="Tahoma" w:cs="Tahoma"/>
                        </w:rPr>
                      </w:pPr>
                      <w:r>
                        <w:rPr>
                          <w:rFonts w:ascii="Tahoma" w:hAnsi="Tahoma" w:cs="Tahoma"/>
                        </w:rPr>
                        <w:t>for</w:t>
                      </w:r>
                    </w:p>
                    <w:p w14:paraId="6927DC94" w14:textId="77777777" w:rsidR="00AA2A1E" w:rsidRDefault="00AA2A1E">
                      <w:pPr>
                        <w:pStyle w:val="BodyText2"/>
                        <w:rPr>
                          <w:rFonts w:ascii="Tahoma" w:hAnsi="Tahoma" w:cs="Tahoma"/>
                          <w:sz w:val="18"/>
                        </w:rPr>
                      </w:pPr>
                      <w:r>
                        <w:rPr>
                          <w:rFonts w:ascii="Tahoma" w:hAnsi="Tahoma" w:cs="Tahoma"/>
                          <w:sz w:val="26"/>
                        </w:rPr>
                        <w:t>Family Centered Practice</w:t>
                      </w:r>
                    </w:p>
                    <w:p w14:paraId="3945FE8B" w14:textId="77777777" w:rsidR="00AA2A1E" w:rsidRDefault="00AA2A1E">
                      <w:pPr>
                        <w:pStyle w:val="BodyText2"/>
                        <w:rPr>
                          <w:rFonts w:ascii="Tahoma" w:hAnsi="Tahoma" w:cs="Tahoma"/>
                          <w:sz w:val="16"/>
                        </w:rPr>
                      </w:pPr>
                    </w:p>
                    <w:p w14:paraId="4D430019" w14:textId="77777777" w:rsidR="00AA2A1E" w:rsidRDefault="004E53C6">
                      <w:pPr>
                        <w:ind w:left="-180"/>
                        <w:rPr>
                          <w:rFonts w:ascii="Tahoma" w:hAnsi="Tahoma" w:cs="Tahoma"/>
                          <w:color w:val="FFFFFF"/>
                        </w:rPr>
                      </w:pPr>
                      <w:r>
                        <w:rPr>
                          <w:noProof/>
                        </w:rPr>
                        <w:object w:dxaOrig="733" w:dyaOrig="653" w14:anchorId="4445A106">
                          <v:shape id="_x0000_i1030" type="#_x0000_t75" alt="" style="width:36.75pt;height:33pt;mso-width-percent:0;mso-height-percent:0;mso-width-percent:0;mso-height-percent:0" fillcolor="black">
                            <v:imagedata r:id="rId12" o:title="" croptop="4003f" cropbottom="3002f" cropright="7302f" grayscale="t"/>
                          </v:shape>
                          <o:OLEObject Type="Embed" ProgID="Unknown" ShapeID="_x0000_i1030" DrawAspect="Content" ObjectID="_1837593250" r:id="rId14"/>
                        </w:object>
                      </w:r>
                    </w:p>
                    <w:p w14:paraId="1E67A49D" w14:textId="77777777" w:rsidR="00AA2A1E" w:rsidRDefault="00AA2A1E">
                      <w:pPr>
                        <w:ind w:left="-180"/>
                      </w:pPr>
                    </w:p>
                  </w:txbxContent>
                </v:textbox>
              </v:shape>
            </w:pict>
          </mc:Fallback>
        </mc:AlternateContent>
      </w:r>
    </w:p>
    <w:p w14:paraId="0D66E7B0" w14:textId="36490C30" w:rsidR="000E3265" w:rsidRPr="000E3265" w:rsidRDefault="000E3265" w:rsidP="000E3265">
      <w:pPr>
        <w:spacing w:before="0" w:after="0" w:line="320" w:lineRule="exact"/>
        <w:jc w:val="left"/>
        <w:rPr>
          <w:rFonts w:ascii="Tahoma" w:eastAsia="Times New Roman" w:hAnsi="Tahoma" w:cs="Tahoma"/>
          <w:b/>
          <w:bCs/>
          <w:sz w:val="24"/>
          <w:szCs w:val="24"/>
        </w:rPr>
      </w:pPr>
      <w:r w:rsidRPr="000E3265">
        <w:rPr>
          <w:rFonts w:ascii="Tahoma" w:eastAsia="Times New Roman" w:hAnsi="Tahoma" w:cs="Tahoma"/>
          <w:noProof/>
          <w:sz w:val="24"/>
          <w:szCs w:val="24"/>
        </w:rPr>
        <mc:AlternateContent>
          <mc:Choice Requires="wps">
            <w:drawing>
              <wp:anchor distT="0" distB="0" distL="114300" distR="114300" simplePos="0" relativeHeight="251669504" behindDoc="0" locked="0" layoutInCell="1" allowOverlap="1" wp14:anchorId="3ECE5A31" wp14:editId="027EB599">
                <wp:simplePos x="0" y="0"/>
                <wp:positionH relativeFrom="margin">
                  <wp:posOffset>175260</wp:posOffset>
                </wp:positionH>
                <wp:positionV relativeFrom="paragraph">
                  <wp:posOffset>2755265</wp:posOffset>
                </wp:positionV>
                <wp:extent cx="901065" cy="0"/>
                <wp:effectExtent l="0" t="19050" r="51435" b="38100"/>
                <wp:wrapNone/>
                <wp:docPr id="894887557"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1065"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E13AE3" id="Straight Connector 12" o:spid="_x0000_s1026" alt="&quot;&quot;"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8pt,216.95pt" to="84.7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" strokecolor="white [3212]" strokeweight="4pt">
                <v:stroke joinstyle="miter"/>
                <w10:wrap anchorx="margin"/>
              </v:line>
            </w:pict>
          </mc:Fallback>
        </mc:AlternateContent>
      </w:r>
      <w:r w:rsidRPr="000E3265">
        <w:rPr>
          <w:rFonts w:ascii="Tahoma" w:eastAsia="Times New Roman" w:hAnsi="Tahoma" w:cs="Tahoma"/>
          <w:b/>
          <w:bCs/>
          <w:sz w:val="24"/>
          <w:szCs w:val="24"/>
        </w:rPr>
        <w:t xml:space="preserve"> </w:t>
      </w:r>
    </w:p>
    <w:p w14:paraId="3EB22E52" w14:textId="5D9FE457" w:rsidR="00075F88" w:rsidRDefault="00075F88" w:rsidP="00075F88">
      <w:pPr>
        <w:spacing w:before="0" w:after="0" w:line="320" w:lineRule="exact"/>
        <w:jc w:val="left"/>
        <w:rPr>
          <w:rFonts w:ascii="Tahoma" w:eastAsia="Times New Roman" w:hAnsi="Tahoma" w:cs="Tahoma"/>
          <w:sz w:val="24"/>
          <w:szCs w:val="24"/>
        </w:rPr>
      </w:pPr>
    </w:p>
    <w:p w14:paraId="37E48CD8" w14:textId="402D59F9" w:rsidR="00075F88" w:rsidRPr="00D63730" w:rsidRDefault="00554DB2" w:rsidP="00075F88">
      <w:pPr>
        <w:spacing w:before="0" w:after="0" w:line="320" w:lineRule="exact"/>
        <w:jc w:val="left"/>
        <w:rPr>
          <w:rFonts w:ascii="Amasis MT Pro Medium" w:eastAsia="Times New Roman" w:hAnsi="Amasis MT Pro Medium" w:cs="Tahoma"/>
          <w:sz w:val="24"/>
          <w:szCs w:val="24"/>
        </w:rPr>
      </w:pPr>
      <w:r w:rsidRPr="00005C8D">
        <w:rPr>
          <w:b/>
          <w:bCs/>
          <w:noProof/>
        </w:rPr>
        <mc:AlternateContent>
          <mc:Choice Requires="wps">
            <w:drawing>
              <wp:anchor distT="182880" distB="182880" distL="114300" distR="114300" simplePos="0" relativeHeight="251667456" behindDoc="0" locked="0" layoutInCell="1" allowOverlap="1" wp14:anchorId="4B11B192" wp14:editId="06098D3B">
                <wp:simplePos x="0" y="0"/>
                <wp:positionH relativeFrom="margin">
                  <wp:posOffset>4408170</wp:posOffset>
                </wp:positionH>
                <wp:positionV relativeFrom="paragraph">
                  <wp:posOffset>66675</wp:posOffset>
                </wp:positionV>
                <wp:extent cx="2072640" cy="1996440"/>
                <wp:effectExtent l="0" t="0" r="3810" b="3810"/>
                <wp:wrapNone/>
                <wp:docPr id="3" name="Rectangle 2" descr="Color-block pull quote"/>
                <wp:cNvGraphicFramePr/>
                <a:graphic xmlns:a="http://schemas.openxmlformats.org/drawingml/2006/main">
                  <a:graphicData uri="http://schemas.microsoft.com/office/word/2010/wordprocessingShape">
                    <wps:wsp>
                      <wps:cNvSpPr/>
                      <wps:spPr>
                        <a:xfrm>
                          <a:off x="0" y="0"/>
                          <a:ext cx="2072640" cy="19964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30EFB" w14:textId="10D7A842" w:rsidR="00005C8D" w:rsidRDefault="00F40C60">
                            <w:pPr>
                              <w:rPr>
                                <w:color w:val="FFFFFF" w:themeColor="background1"/>
                              </w:rPr>
                            </w:pPr>
                            <w:bookmarkStart w:id="4" w:name="_Hlk226558910"/>
                            <w:r w:rsidRPr="00CC7124">
                              <w:rPr>
                                <w:rFonts w:ascii="Tahoma" w:eastAsia="Times New Roman" w:hAnsi="Tahoma" w:cs="Tahoma"/>
                                <w:noProof/>
                                <w:sz w:val="26"/>
                                <w:szCs w:val="24"/>
                              </w:rPr>
                              <w:drawing>
                                <wp:inline distT="0" distB="0" distL="0" distR="0" wp14:anchorId="30E30BB9" wp14:editId="363BA467">
                                  <wp:extent cx="1371600" cy="1906270"/>
                                  <wp:effectExtent l="0" t="0" r="0" b="0"/>
                                  <wp:docPr id="10571266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6676"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325" cy="1918396"/>
                                          </a:xfrm>
                                          <a:prstGeom prst="rect">
                                            <a:avLst/>
                                          </a:prstGeom>
                                          <a:noFill/>
                                          <a:ln>
                                            <a:noFill/>
                                          </a:ln>
                                        </pic:spPr>
                                      </pic:pic>
                                    </a:graphicData>
                                  </a:graphic>
                                </wp:inline>
                              </w:drawing>
                            </w:r>
                            <w:bookmarkEnd w:id="4"/>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1B192" id="Rectangle 2" o:spid="_x0000_s1027" alt="Color-block pull quote" style="position:absolute;margin-left:347.1pt;margin-top:5.25pt;width:163.2pt;height:157.2pt;z-index:25166745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" fillcolor="#ff8200 [3209]" stroked="f" strokeweight="1pt">
                <v:textbox inset="28.8pt,7.2pt,28.8pt,7.2pt">
                  <w:txbxContent>
                    <w:p w14:paraId="3D230EFB" w14:textId="10D7A842" w:rsidR="00005C8D" w:rsidRDefault="00F40C60">
                      <w:pPr>
                        <w:rPr>
                          <w:color w:val="FFFFFF" w:themeColor="background1"/>
                        </w:rPr>
                      </w:pPr>
                      <w:bookmarkStart w:id="5" w:name="_Hlk226558910"/>
                      <w:r w:rsidRPr="00CC7124">
                        <w:rPr>
                          <w:rFonts w:ascii="Tahoma" w:eastAsia="Times New Roman" w:hAnsi="Tahoma" w:cs="Tahoma"/>
                          <w:noProof/>
                          <w:sz w:val="26"/>
                          <w:szCs w:val="24"/>
                        </w:rPr>
                        <w:drawing>
                          <wp:inline distT="0" distB="0" distL="0" distR="0" wp14:anchorId="30E30BB9" wp14:editId="363BA467">
                            <wp:extent cx="1371600" cy="1906270"/>
                            <wp:effectExtent l="0" t="0" r="0" b="0"/>
                            <wp:docPr id="10571266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26676" name="Picture 1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0325" cy="1918396"/>
                                    </a:xfrm>
                                    <a:prstGeom prst="rect">
                                      <a:avLst/>
                                    </a:prstGeom>
                                    <a:noFill/>
                                    <a:ln>
                                      <a:noFill/>
                                    </a:ln>
                                  </pic:spPr>
                                </pic:pic>
                              </a:graphicData>
                            </a:graphic>
                          </wp:inline>
                        </w:drawing>
                      </w:r>
                      <w:bookmarkEnd w:id="5"/>
                    </w:p>
                  </w:txbxContent>
                </v:textbox>
                <w10:wrap anchorx="margin"/>
              </v:rect>
            </w:pict>
          </mc:Fallback>
        </mc:AlternateContent>
      </w:r>
      <w:r w:rsidR="00075F88" w:rsidRPr="00075F88">
        <w:rPr>
          <w:rFonts w:ascii="Amasis MT Pro Medium" w:eastAsia="Times New Roman" w:hAnsi="Amasis MT Pro Medium" w:cs="Tahoma"/>
          <w:sz w:val="24"/>
          <w:szCs w:val="24"/>
        </w:rPr>
        <w:t>National Resource Center for Family Centered Practice</w:t>
      </w:r>
    </w:p>
    <w:p w14:paraId="2FB5A25E" w14:textId="6A545427" w:rsidR="00075F88" w:rsidRPr="00075F88" w:rsidRDefault="00075F88" w:rsidP="00075F88">
      <w:pPr>
        <w:spacing w:before="0" w:after="0" w:line="320" w:lineRule="exact"/>
        <w:jc w:val="left"/>
        <w:rPr>
          <w:rFonts w:ascii="Amasis MT Pro Medium" w:eastAsia="Times New Roman" w:hAnsi="Amasis MT Pro Medium" w:cs="Tahoma"/>
          <w:sz w:val="24"/>
          <w:szCs w:val="24"/>
        </w:rPr>
      </w:pPr>
      <w:r w:rsidRPr="00D63730">
        <w:rPr>
          <w:rFonts w:ascii="Amasis MT Pro Medium" w:eastAsia="Times New Roman" w:hAnsi="Amasis MT Pro Medium" w:cs="Tahoma"/>
          <w:sz w:val="24"/>
          <w:szCs w:val="24"/>
        </w:rPr>
        <w:t xml:space="preserve">Consortium for Substance Abuse Research </w:t>
      </w:r>
      <w:r w:rsidR="00E52BF7">
        <w:rPr>
          <w:rFonts w:ascii="Amasis MT Pro Medium" w:eastAsia="Times New Roman" w:hAnsi="Amasis MT Pro Medium" w:cs="Tahoma"/>
          <w:sz w:val="24"/>
          <w:szCs w:val="24"/>
        </w:rPr>
        <w:t>and</w:t>
      </w:r>
      <w:r w:rsidRPr="00D63730">
        <w:rPr>
          <w:rFonts w:ascii="Amasis MT Pro Medium" w:eastAsia="Times New Roman" w:hAnsi="Amasis MT Pro Medium" w:cs="Tahoma"/>
          <w:sz w:val="24"/>
          <w:szCs w:val="24"/>
        </w:rPr>
        <w:t xml:space="preserve"> Evaluation</w:t>
      </w:r>
    </w:p>
    <w:p w14:paraId="55FC19DA" w14:textId="3F645985" w:rsidR="00075F88" w:rsidRPr="00075F88" w:rsidRDefault="00075F88" w:rsidP="00075F88">
      <w:pPr>
        <w:spacing w:before="0" w:after="0" w:line="320" w:lineRule="exact"/>
        <w:jc w:val="left"/>
        <w:rPr>
          <w:rFonts w:ascii="Amasis MT Pro Medium" w:eastAsia="Times New Roman" w:hAnsi="Amasis MT Pro Medium" w:cs="Tahoma"/>
          <w:sz w:val="24"/>
          <w:szCs w:val="24"/>
        </w:rPr>
      </w:pPr>
      <w:r w:rsidRPr="00075F88">
        <w:rPr>
          <w:rFonts w:ascii="Amasis MT Pro Medium" w:eastAsia="Times New Roman" w:hAnsi="Amasis MT Pro Medium" w:cs="Tahoma"/>
          <w:sz w:val="24"/>
          <w:szCs w:val="24"/>
        </w:rPr>
        <w:t>The University of Iowa School of Social Work</w:t>
      </w:r>
    </w:p>
    <w:p w14:paraId="4378A2CD" w14:textId="10C5B907" w:rsidR="00075F88" w:rsidRPr="00075F88" w:rsidRDefault="0056606C" w:rsidP="00075F88">
      <w:pPr>
        <w:spacing w:before="0" w:after="0" w:line="320" w:lineRule="exact"/>
        <w:jc w:val="left"/>
        <w:rPr>
          <w:rFonts w:ascii="Amasis MT Pro Medium" w:eastAsia="Times New Roman" w:hAnsi="Amasis MT Pro Medium" w:cs="Tahoma"/>
          <w:sz w:val="24"/>
          <w:szCs w:val="24"/>
        </w:rPr>
      </w:pPr>
      <w:r>
        <w:rPr>
          <w:rFonts w:ascii="Amasis MT Pro Medium" w:eastAsia="Times New Roman" w:hAnsi="Amasis MT Pro Medium" w:cs="Tahoma"/>
          <w:sz w:val="24"/>
          <w:szCs w:val="24"/>
        </w:rPr>
        <w:t>110</w:t>
      </w:r>
      <w:r w:rsidR="00075F88" w:rsidRPr="00D63730">
        <w:rPr>
          <w:rFonts w:ascii="Amasis MT Pro Medium" w:eastAsia="Times New Roman" w:hAnsi="Amasis MT Pro Medium" w:cs="Tahoma"/>
          <w:sz w:val="24"/>
          <w:szCs w:val="24"/>
        </w:rPr>
        <w:t xml:space="preserve"> MTP-4</w:t>
      </w:r>
      <w:r w:rsidR="00506B4B">
        <w:rPr>
          <w:rFonts w:ascii="Amasis MT Pro Medium" w:eastAsia="Times New Roman" w:hAnsi="Amasis MT Pro Medium" w:cs="Tahoma"/>
          <w:sz w:val="24"/>
          <w:szCs w:val="24"/>
        </w:rPr>
        <w:t xml:space="preserve"> Iowa City, Iowa 52242-5000</w:t>
      </w:r>
    </w:p>
    <w:p w14:paraId="59238826" w14:textId="0517A4A3" w:rsidR="00075F88" w:rsidRPr="00075F88" w:rsidRDefault="00075F88" w:rsidP="00075F88">
      <w:pPr>
        <w:spacing w:before="0" w:after="0" w:line="320" w:lineRule="exact"/>
        <w:jc w:val="left"/>
        <w:rPr>
          <w:rFonts w:ascii="Amasis MT Pro Medium" w:eastAsia="Times New Roman" w:hAnsi="Amasis MT Pro Medium" w:cs="Tahoma"/>
          <w:sz w:val="24"/>
          <w:szCs w:val="24"/>
        </w:rPr>
      </w:pPr>
      <w:r w:rsidRPr="00075F88">
        <w:rPr>
          <w:rFonts w:ascii="Amasis MT Pro Medium" w:eastAsia="Times New Roman" w:hAnsi="Amasis MT Pro Medium" w:cs="Tahoma"/>
          <w:sz w:val="24"/>
          <w:szCs w:val="24"/>
        </w:rPr>
        <w:t>Phone</w:t>
      </w:r>
      <w:proofErr w:type="gramStart"/>
      <w:r w:rsidRPr="00075F88">
        <w:rPr>
          <w:rFonts w:ascii="Amasis MT Pro Medium" w:eastAsia="Times New Roman" w:hAnsi="Amasis MT Pro Medium" w:cs="Tahoma"/>
          <w:sz w:val="24"/>
          <w:szCs w:val="24"/>
        </w:rPr>
        <w:t xml:space="preserve">:  </w:t>
      </w:r>
      <w:r w:rsidRPr="00D63730">
        <w:rPr>
          <w:rFonts w:ascii="Amasis MT Pro Medium" w:eastAsia="Times New Roman" w:hAnsi="Amasis MT Pro Medium" w:cs="Tahoma"/>
          <w:sz w:val="24"/>
          <w:szCs w:val="24"/>
        </w:rPr>
        <w:t>515</w:t>
      </w:r>
      <w:r w:rsidR="00A60A1D" w:rsidRPr="00D63730">
        <w:rPr>
          <w:rFonts w:ascii="Amasis MT Pro Medium" w:eastAsia="Times New Roman" w:hAnsi="Amasis MT Pro Medium" w:cs="Tahoma"/>
          <w:sz w:val="24"/>
          <w:szCs w:val="24"/>
        </w:rPr>
        <w:t>.235</w:t>
      </w:r>
      <w:proofErr w:type="gramEnd"/>
      <w:r w:rsidR="00A60A1D" w:rsidRPr="00D63730">
        <w:rPr>
          <w:rFonts w:ascii="Amasis MT Pro Medium" w:eastAsia="Times New Roman" w:hAnsi="Amasis MT Pro Medium" w:cs="Tahoma"/>
          <w:sz w:val="24"/>
          <w:szCs w:val="24"/>
        </w:rPr>
        <w:t>.4005; 515.771.3589</w:t>
      </w:r>
    </w:p>
    <w:p w14:paraId="432AED80" w14:textId="17D4100F" w:rsidR="00075F88" w:rsidRPr="00D63730" w:rsidRDefault="00075F88" w:rsidP="00075F88">
      <w:pPr>
        <w:spacing w:before="0" w:after="0" w:line="320" w:lineRule="exact"/>
        <w:jc w:val="left"/>
        <w:rPr>
          <w:rFonts w:ascii="Amasis MT Pro Medium" w:eastAsia="Times New Roman" w:hAnsi="Amasis MT Pro Medium" w:cs="Tahoma"/>
          <w:sz w:val="24"/>
          <w:szCs w:val="24"/>
        </w:rPr>
      </w:pPr>
      <w:r w:rsidRPr="00075F88">
        <w:rPr>
          <w:rFonts w:ascii="Amasis MT Pro Medium" w:eastAsia="Times New Roman" w:hAnsi="Amasis MT Pro Medium" w:cs="Tahoma"/>
          <w:sz w:val="24"/>
          <w:szCs w:val="24"/>
        </w:rPr>
        <w:t xml:space="preserve">Web site:  </w:t>
      </w:r>
      <w:hyperlink r:id="rId16" w:history="1">
        <w:r w:rsidR="00FF741B" w:rsidRPr="00D63730">
          <w:rPr>
            <w:rStyle w:val="Hyperlink"/>
            <w:rFonts w:ascii="Amasis MT Pro Medium" w:eastAsia="Times New Roman" w:hAnsi="Amasis MT Pro Medium" w:cs="Tahoma"/>
            <w:b w:val="0"/>
            <w:bCs/>
            <w:sz w:val="24"/>
            <w:szCs w:val="24"/>
          </w:rPr>
          <w:t>https://nrcfcp.uiowa.edu/</w:t>
        </w:r>
      </w:hyperlink>
    </w:p>
    <w:p w14:paraId="1026557E" w14:textId="7CE943E8" w:rsidR="00FF741B" w:rsidRPr="00075F88" w:rsidRDefault="00FF741B" w:rsidP="00075F88">
      <w:pPr>
        <w:spacing w:before="0" w:after="0" w:line="320" w:lineRule="exact"/>
        <w:jc w:val="left"/>
        <w:rPr>
          <w:rFonts w:ascii="Tahoma" w:eastAsia="Times New Roman" w:hAnsi="Tahoma" w:cs="Tahoma"/>
          <w:sz w:val="24"/>
          <w:szCs w:val="24"/>
        </w:rPr>
      </w:pPr>
    </w:p>
    <w:p w14:paraId="0E86E354" w14:textId="1BDF22AE" w:rsidR="00F21957" w:rsidRDefault="00F24B06" w:rsidP="004D60BC">
      <w:pPr>
        <w:jc w:val="right"/>
        <w:rPr>
          <w:b/>
          <w:bCs/>
        </w:rPr>
      </w:pPr>
      <w:r w:rsidRPr="00C44118">
        <w:rPr>
          <w:rFonts w:cstheme="minorHAnsi"/>
          <w:noProof/>
        </w:rPr>
        <w:drawing>
          <wp:anchor distT="0" distB="0" distL="114300" distR="114300" simplePos="0" relativeHeight="251673600" behindDoc="0" locked="0" layoutInCell="1" allowOverlap="1" wp14:anchorId="407909F8" wp14:editId="05CFC034">
            <wp:simplePos x="0" y="0"/>
            <wp:positionH relativeFrom="margin">
              <wp:posOffset>5676900</wp:posOffset>
            </wp:positionH>
            <wp:positionV relativeFrom="paragraph">
              <wp:posOffset>23495</wp:posOffset>
            </wp:positionV>
            <wp:extent cx="712470" cy="548640"/>
            <wp:effectExtent l="0" t="0" r="0" b="3810"/>
            <wp:wrapSquare wrapText="bothSides"/>
            <wp:docPr id="94" name="Picture 94" descr="A close up of the Iowa Consort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close up of the Iowa Consortium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2470" cy="548640"/>
                    </a:xfrm>
                    <a:prstGeom prst="rect">
                      <a:avLst/>
                    </a:prstGeom>
                  </pic:spPr>
                </pic:pic>
              </a:graphicData>
            </a:graphic>
            <wp14:sizeRelH relativeFrom="margin">
              <wp14:pctWidth>0</wp14:pctWidth>
            </wp14:sizeRelH>
            <wp14:sizeRelV relativeFrom="margin">
              <wp14:pctHeight>0</wp14:pctHeight>
            </wp14:sizeRelV>
          </wp:anchor>
        </w:drawing>
      </w:r>
    </w:p>
    <w:p w14:paraId="0FA082FA" w14:textId="5B8BAE5F" w:rsidR="00F21957" w:rsidRDefault="00F21957" w:rsidP="004D60BC">
      <w:pPr>
        <w:jc w:val="right"/>
        <w:rPr>
          <w:b/>
          <w:bCs/>
        </w:rPr>
      </w:pPr>
    </w:p>
    <w:p w14:paraId="73105A56" w14:textId="1D5944CB" w:rsidR="00087877" w:rsidRDefault="00087877" w:rsidP="00087877">
      <w:pPr>
        <w:tabs>
          <w:tab w:val="left" w:pos="1248"/>
          <w:tab w:val="right" w:pos="10224"/>
        </w:tabs>
        <w:jc w:val="left"/>
        <w:rPr>
          <w:b/>
          <w:bCs/>
        </w:rPr>
      </w:pPr>
      <w:r w:rsidRPr="00C44118">
        <w:rPr>
          <w:noProof/>
        </w:rPr>
        <w:lastRenderedPageBreak/>
        <mc:AlternateContent>
          <mc:Choice Requires="wps">
            <w:drawing>
              <wp:anchor distT="0" distB="0" distL="114300" distR="114300" simplePos="0" relativeHeight="251671552" behindDoc="1" locked="0" layoutInCell="1" allowOverlap="1" wp14:anchorId="05C70A53" wp14:editId="04B0D03B">
                <wp:simplePos x="0" y="0"/>
                <wp:positionH relativeFrom="margin">
                  <wp:align>right</wp:align>
                </wp:positionH>
                <wp:positionV relativeFrom="paragraph">
                  <wp:posOffset>106680</wp:posOffset>
                </wp:positionV>
                <wp:extent cx="6492240" cy="537210"/>
                <wp:effectExtent l="0" t="0" r="3810" b="0"/>
                <wp:wrapNone/>
                <wp:docPr id="23" name="Rectangle 23"/>
                <wp:cNvGraphicFramePr/>
                <a:graphic xmlns:a="http://schemas.openxmlformats.org/drawingml/2006/main">
                  <a:graphicData uri="http://schemas.microsoft.com/office/word/2010/wordprocessingShape">
                    <wps:wsp>
                      <wps:cNvSpPr/>
                      <wps:spPr>
                        <a:xfrm>
                          <a:off x="0" y="0"/>
                          <a:ext cx="6492240" cy="537210"/>
                        </a:xfrm>
                        <a:prstGeom prst="rect">
                          <a:avLst/>
                        </a:prstGeom>
                        <a:solidFill>
                          <a:srgbClr val="49ABE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7EC8" id="Rectangle 23" o:spid="_x0000_s1026" style="position:absolute;margin-left:460pt;margin-top:8.4pt;width:511.2pt;height:42.3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" fillcolor="#49abe7" stroked="f" strokeweight="1pt">
                <w10:wrap anchorx="margin"/>
              </v:rect>
            </w:pict>
          </mc:Fallback>
        </mc:AlternateContent>
      </w:r>
      <w:r>
        <w:rPr>
          <w:b/>
          <w:bCs/>
        </w:rPr>
        <w:tab/>
      </w:r>
    </w:p>
    <w:p w14:paraId="0BC35A3C" w14:textId="38750600" w:rsidR="00023D2F" w:rsidRPr="00087877" w:rsidRDefault="00087877" w:rsidP="00087877">
      <w:pPr>
        <w:tabs>
          <w:tab w:val="left" w:pos="1248"/>
          <w:tab w:val="right" w:pos="10224"/>
        </w:tabs>
        <w:jc w:val="left"/>
        <w:rPr>
          <w:b/>
          <w:bCs/>
          <w:sz w:val="28"/>
          <w:szCs w:val="28"/>
        </w:rPr>
      </w:pPr>
      <w:r>
        <w:rPr>
          <w:b/>
          <w:bCs/>
          <w:sz w:val="28"/>
          <w:szCs w:val="28"/>
        </w:rPr>
        <w:t xml:space="preserve">        </w:t>
      </w:r>
      <w:r w:rsidRPr="00087877">
        <w:rPr>
          <w:b/>
          <w:bCs/>
          <w:sz w:val="28"/>
          <w:szCs w:val="28"/>
        </w:rPr>
        <w:t>Acknowledgements</w:t>
      </w:r>
      <w:r w:rsidRPr="00087877">
        <w:rPr>
          <w:b/>
          <w:bCs/>
          <w:sz w:val="28"/>
          <w:szCs w:val="28"/>
        </w:rPr>
        <w:tab/>
      </w:r>
    </w:p>
    <w:p w14:paraId="3D39C52A" w14:textId="462EFFC6" w:rsidR="00023D2F" w:rsidRDefault="00023D2F" w:rsidP="004D60BC">
      <w:pPr>
        <w:jc w:val="right"/>
        <w:rPr>
          <w:b/>
          <w:bCs/>
        </w:rPr>
      </w:pPr>
    </w:p>
    <w:p w14:paraId="5057844E" w14:textId="77777777" w:rsidR="00C84005" w:rsidRDefault="00C84005" w:rsidP="00C84005">
      <w:pPr>
        <w:spacing w:after="0" w:line="240" w:lineRule="auto"/>
        <w:rPr>
          <w:rFonts w:cstheme="minorHAnsi"/>
        </w:rPr>
      </w:pPr>
      <w:r w:rsidRPr="00C44118">
        <w:rPr>
          <w:rFonts w:cstheme="minorHAnsi"/>
        </w:rPr>
        <w:t>Suggested Citation:</w:t>
      </w:r>
    </w:p>
    <w:p w14:paraId="7D96F530" w14:textId="3D5D2A0C" w:rsidR="00C84005" w:rsidRPr="00C44118" w:rsidRDefault="00C84005" w:rsidP="00C675D6">
      <w:pPr>
        <w:spacing w:before="0" w:after="0" w:line="240" w:lineRule="auto"/>
        <w:rPr>
          <w:rFonts w:cstheme="minorHAnsi"/>
        </w:rPr>
      </w:pPr>
      <w:r>
        <w:rPr>
          <w:rFonts w:cstheme="minorHAnsi"/>
        </w:rPr>
        <w:t>Conrad, A</w:t>
      </w:r>
      <w:r w:rsidRPr="00C44118">
        <w:rPr>
          <w:rFonts w:cstheme="minorHAnsi"/>
        </w:rPr>
        <w:t>.</w:t>
      </w:r>
      <w:r>
        <w:rPr>
          <w:rFonts w:cstheme="minorHAnsi"/>
        </w:rPr>
        <w:t xml:space="preserve">, Strack, S. </w:t>
      </w:r>
      <w:r w:rsidRPr="00C44118">
        <w:rPr>
          <w:rFonts w:cstheme="minorHAnsi"/>
        </w:rPr>
        <w:t>(202</w:t>
      </w:r>
      <w:r w:rsidR="000360F5">
        <w:rPr>
          <w:rFonts w:cstheme="minorHAnsi"/>
        </w:rPr>
        <w:t>6</w:t>
      </w:r>
      <w:r w:rsidRPr="00C44118">
        <w:rPr>
          <w:rFonts w:cstheme="minorHAnsi"/>
        </w:rPr>
        <w:t xml:space="preserve">). </w:t>
      </w:r>
      <w:r w:rsidR="001071DE" w:rsidRPr="001071DE">
        <w:rPr>
          <w:rFonts w:cstheme="minorHAnsi"/>
        </w:rPr>
        <w:t>Polk County Infant-Toddler Court</w:t>
      </w:r>
      <w:r w:rsidR="001071DE">
        <w:rPr>
          <w:rFonts w:cstheme="minorHAnsi"/>
        </w:rPr>
        <w:t xml:space="preserve"> </w:t>
      </w:r>
      <w:r w:rsidR="001071DE" w:rsidRPr="001071DE">
        <w:rPr>
          <w:rFonts w:cstheme="minorHAnsi"/>
        </w:rPr>
        <w:t>Program: Local Evaluation Repor</w:t>
      </w:r>
      <w:r w:rsidR="001071DE">
        <w:rPr>
          <w:rFonts w:cstheme="minorHAnsi"/>
        </w:rPr>
        <w:t>t</w:t>
      </w:r>
      <w:r w:rsidRPr="00C44118">
        <w:rPr>
          <w:rFonts w:cstheme="minorHAnsi"/>
        </w:rPr>
        <w:t xml:space="preserve">. Iowa City, IA: </w:t>
      </w:r>
    </w:p>
    <w:p w14:paraId="23492741" w14:textId="77777777" w:rsidR="00C84005" w:rsidRPr="00C44118" w:rsidRDefault="00C84005" w:rsidP="00C675D6">
      <w:pPr>
        <w:spacing w:before="0" w:after="0" w:line="240" w:lineRule="auto"/>
        <w:rPr>
          <w:rFonts w:cstheme="minorHAnsi"/>
        </w:rPr>
      </w:pPr>
      <w:r w:rsidRPr="00C44118">
        <w:rPr>
          <w:rFonts w:cstheme="minorHAnsi"/>
        </w:rPr>
        <w:t xml:space="preserve">University of Iowa Consortium for Substance Abuse Research and Evaluation. </w:t>
      </w:r>
    </w:p>
    <w:p w14:paraId="17406422" w14:textId="3ADCDD67" w:rsidR="00C84005" w:rsidRDefault="00C84005" w:rsidP="00354519">
      <w:pPr>
        <w:spacing w:after="0" w:line="240" w:lineRule="auto"/>
        <w:rPr>
          <w:rFonts w:cstheme="minorHAnsi"/>
        </w:rPr>
      </w:pPr>
      <w:r w:rsidRPr="00C44118">
        <w:rPr>
          <w:rFonts w:cstheme="minorHAnsi"/>
        </w:rPr>
        <w:t xml:space="preserve">Retrievable at: </w:t>
      </w:r>
      <w:hyperlink r:id="rId18" w:history="1">
        <w:r w:rsidRPr="008F410B">
          <w:rPr>
            <w:rStyle w:val="Hyperlink"/>
            <w:rFonts w:cstheme="minorHAnsi"/>
            <w:color w:val="007EA7" w:themeColor="accent4" w:themeShade="BF"/>
          </w:rPr>
          <w:t>http://iconsortium.subst-abuse.uiowa.edu/</w:t>
        </w:r>
      </w:hyperlink>
    </w:p>
    <w:p w14:paraId="4FFF6892" w14:textId="77777777" w:rsidR="00354519" w:rsidRPr="00C44118" w:rsidRDefault="00354519" w:rsidP="00354519">
      <w:pPr>
        <w:spacing w:after="0" w:line="240" w:lineRule="auto"/>
        <w:rPr>
          <w:rFonts w:cstheme="minorHAnsi"/>
        </w:rPr>
      </w:pPr>
    </w:p>
    <w:p w14:paraId="7DCDC826" w14:textId="75BD469E" w:rsidR="002E2980" w:rsidRPr="00CF7E7F" w:rsidRDefault="00C84005" w:rsidP="002E2980">
      <w:pPr>
        <w:spacing w:before="0" w:after="0" w:line="240" w:lineRule="auto"/>
        <w:rPr>
          <w:rFonts w:cstheme="minorHAnsi"/>
        </w:rPr>
      </w:pPr>
      <w:r w:rsidRPr="00CF7E7F">
        <w:rPr>
          <w:rFonts w:cstheme="minorHAnsi"/>
          <w:b/>
          <w:bCs/>
          <w:u w:val="single"/>
        </w:rPr>
        <w:t>Project Director</w:t>
      </w:r>
      <w:r w:rsidR="002E2980" w:rsidRPr="00CF7E7F">
        <w:rPr>
          <w:rFonts w:cstheme="minorHAnsi"/>
          <w:u w:val="single"/>
        </w:rPr>
        <w:t xml:space="preserve">, </w:t>
      </w:r>
      <w:r w:rsidR="002E2980" w:rsidRPr="002E2980">
        <w:rPr>
          <w:rFonts w:cstheme="minorHAnsi"/>
          <w:u w:val="single"/>
        </w:rPr>
        <w:t>Rhonda Rairden-Nelson</w:t>
      </w:r>
      <w:r w:rsidR="002E2980" w:rsidRPr="00CF7E7F">
        <w:rPr>
          <w:rFonts w:cstheme="minorHAnsi"/>
        </w:rPr>
        <w:t>, LMSW, IECMH-E</w:t>
      </w:r>
    </w:p>
    <w:p w14:paraId="24639A8B" w14:textId="77777777" w:rsidR="002E2980" w:rsidRPr="00CF7E7F" w:rsidRDefault="002E2980" w:rsidP="002E2980">
      <w:pPr>
        <w:spacing w:before="0" w:after="0" w:line="240" w:lineRule="auto"/>
        <w:rPr>
          <w:rFonts w:cstheme="minorHAnsi"/>
        </w:rPr>
      </w:pPr>
      <w:r w:rsidRPr="00CF7E7F">
        <w:rPr>
          <w:rFonts w:cstheme="minorHAnsi"/>
        </w:rPr>
        <w:t>Division of Family Well-Being and Protection</w:t>
      </w:r>
    </w:p>
    <w:p w14:paraId="1C2C99F8" w14:textId="77777777" w:rsidR="002E2980" w:rsidRPr="00CF7E7F" w:rsidRDefault="002E2980" w:rsidP="002E2980">
      <w:pPr>
        <w:spacing w:before="0" w:after="0" w:line="240" w:lineRule="auto"/>
        <w:rPr>
          <w:rFonts w:cstheme="minorHAnsi"/>
        </w:rPr>
      </w:pPr>
      <w:r w:rsidRPr="00CF7E7F">
        <w:rPr>
          <w:rFonts w:cstheme="minorHAnsi"/>
        </w:rPr>
        <w:t>Iowa Department of Health and Human Services</w:t>
      </w:r>
    </w:p>
    <w:p w14:paraId="761B7FE7" w14:textId="77777777" w:rsidR="002E2980" w:rsidRPr="00CF7E7F" w:rsidRDefault="002E2980" w:rsidP="002E2980">
      <w:pPr>
        <w:spacing w:before="0" w:after="0" w:line="240" w:lineRule="auto"/>
        <w:rPr>
          <w:rFonts w:cstheme="minorHAnsi"/>
        </w:rPr>
      </w:pPr>
      <w:r w:rsidRPr="00CF7E7F">
        <w:rPr>
          <w:rFonts w:cstheme="minorHAnsi"/>
        </w:rPr>
        <w:t>321 E. 12</w:t>
      </w:r>
      <w:r w:rsidRPr="00CF7E7F">
        <w:rPr>
          <w:rFonts w:cstheme="minorHAnsi"/>
          <w:vertAlign w:val="superscript"/>
        </w:rPr>
        <w:t>th</w:t>
      </w:r>
      <w:r w:rsidRPr="00CF7E7F">
        <w:rPr>
          <w:rFonts w:cstheme="minorHAnsi"/>
        </w:rPr>
        <w:t> St., Des Moines, IA 50319</w:t>
      </w:r>
    </w:p>
    <w:p w14:paraId="1806C5B2" w14:textId="77777777" w:rsidR="002E2980" w:rsidRPr="002E2980" w:rsidRDefault="002E2980" w:rsidP="002E2980">
      <w:pPr>
        <w:spacing w:before="0" w:after="0" w:line="240" w:lineRule="auto"/>
        <w:rPr>
          <w:rFonts w:cstheme="minorHAnsi"/>
          <w:color w:val="8CE2FF" w:themeColor="accent4" w:themeTint="66"/>
        </w:rPr>
      </w:pPr>
      <w:r w:rsidRPr="00CF7E7F">
        <w:rPr>
          <w:rFonts w:cstheme="minorHAnsi"/>
        </w:rPr>
        <w:t>515-201-6204</w:t>
      </w:r>
    </w:p>
    <w:p w14:paraId="56DAEC0B" w14:textId="77777777" w:rsidR="002E2980" w:rsidRPr="002E2980" w:rsidRDefault="002E2980" w:rsidP="002E2980">
      <w:pPr>
        <w:spacing w:before="0" w:after="0" w:line="240" w:lineRule="auto"/>
        <w:rPr>
          <w:rFonts w:cstheme="minorHAnsi"/>
          <w:color w:val="8CE2FF" w:themeColor="accent4" w:themeTint="66"/>
        </w:rPr>
      </w:pPr>
      <w:hyperlink r:id="rId19" w:history="1">
        <w:r w:rsidRPr="008F410B">
          <w:rPr>
            <w:rStyle w:val="Hyperlink"/>
            <w:rFonts w:ascii="Roboto" w:hAnsi="Roboto" w:cstheme="minorHAnsi"/>
            <w:color w:val="007EA7" w:themeColor="accent4" w:themeShade="BF"/>
          </w:rPr>
          <w:t>rhonda.rairden-nelson@hhs.iowa.gov</w:t>
        </w:r>
      </w:hyperlink>
    </w:p>
    <w:p w14:paraId="279E4C8C" w14:textId="77777777" w:rsidR="002E2980" w:rsidRPr="00CF7E7F" w:rsidRDefault="002E2980" w:rsidP="002E2980">
      <w:pPr>
        <w:spacing w:before="0" w:after="0" w:line="240" w:lineRule="auto"/>
        <w:rPr>
          <w:rFonts w:cstheme="minorHAnsi"/>
        </w:rPr>
      </w:pPr>
      <w:r w:rsidRPr="00CF7E7F">
        <w:rPr>
          <w:rFonts w:cstheme="minorHAnsi"/>
        </w:rPr>
        <w:t>HHS.Iowa.gov</w:t>
      </w:r>
    </w:p>
    <w:p w14:paraId="555AE492" w14:textId="77777777" w:rsidR="00C84005" w:rsidRPr="00C44118" w:rsidRDefault="00C84005" w:rsidP="00C84005">
      <w:pPr>
        <w:spacing w:after="0" w:line="240" w:lineRule="auto"/>
        <w:rPr>
          <w:rFonts w:cstheme="minorHAnsi"/>
        </w:rPr>
      </w:pPr>
    </w:p>
    <w:p w14:paraId="58669AD3" w14:textId="44B3AC65" w:rsidR="00CD3EE7" w:rsidRPr="00CF7E7F" w:rsidRDefault="00C84005" w:rsidP="00CC387C">
      <w:pPr>
        <w:spacing w:before="0" w:after="0" w:line="240" w:lineRule="auto"/>
        <w:rPr>
          <w:rFonts w:cstheme="minorHAnsi"/>
          <w:b/>
          <w:bCs/>
          <w:u w:val="single"/>
        </w:rPr>
      </w:pPr>
      <w:r w:rsidRPr="00CF7E7F">
        <w:rPr>
          <w:rFonts w:cstheme="minorHAnsi"/>
          <w:b/>
          <w:bCs/>
          <w:u w:val="single"/>
        </w:rPr>
        <w:t>Authors:</w:t>
      </w:r>
    </w:p>
    <w:p w14:paraId="5C213C7E" w14:textId="5943FB9C" w:rsidR="00C84005" w:rsidRPr="00CF7E7F" w:rsidRDefault="00F957FB" w:rsidP="00CC387C">
      <w:pPr>
        <w:spacing w:before="0" w:after="0" w:line="240" w:lineRule="auto"/>
        <w:rPr>
          <w:rFonts w:cstheme="minorHAnsi"/>
        </w:rPr>
      </w:pPr>
      <w:r w:rsidRPr="00CF7E7F">
        <w:rPr>
          <w:rFonts w:cstheme="minorHAnsi"/>
          <w:u w:val="single"/>
        </w:rPr>
        <w:t xml:space="preserve">Evaluation and Data Lead, </w:t>
      </w:r>
      <w:r w:rsidR="00CC387C" w:rsidRPr="00CD3EE7">
        <w:rPr>
          <w:rFonts w:cstheme="minorHAnsi"/>
          <w:u w:val="single"/>
        </w:rPr>
        <w:t>Aislinn Conrad</w:t>
      </w:r>
      <w:r w:rsidR="00C84005" w:rsidRPr="00CF7E7F">
        <w:rPr>
          <w:rFonts w:cstheme="minorHAnsi"/>
        </w:rPr>
        <w:t xml:space="preserve">, </w:t>
      </w:r>
      <w:r w:rsidR="003654CD" w:rsidRPr="00CF7E7F">
        <w:rPr>
          <w:rFonts w:cstheme="minorHAnsi"/>
        </w:rPr>
        <w:t xml:space="preserve">LMSW, </w:t>
      </w:r>
      <w:r w:rsidR="00C84005" w:rsidRPr="00CF7E7F">
        <w:rPr>
          <w:rFonts w:cstheme="minorHAnsi"/>
        </w:rPr>
        <w:t xml:space="preserve">PhD, </w:t>
      </w:r>
      <w:r w:rsidRPr="00CF7E7F">
        <w:rPr>
          <w:rFonts w:cstheme="minorHAnsi"/>
        </w:rPr>
        <w:t xml:space="preserve">Associate Professor </w:t>
      </w:r>
    </w:p>
    <w:p w14:paraId="1CDD7244" w14:textId="77777777" w:rsidR="00CD3EE7" w:rsidRPr="00CF7E7F" w:rsidRDefault="00CD3EE7" w:rsidP="00CD3EE7">
      <w:pPr>
        <w:spacing w:before="0" w:after="0" w:line="240" w:lineRule="auto"/>
      </w:pPr>
      <w:r w:rsidRPr="00CF7E7F">
        <w:t>The University of Iowa, School of Social Work</w:t>
      </w:r>
    </w:p>
    <w:p w14:paraId="04C501F9" w14:textId="7A899D49" w:rsidR="00CD3EE7" w:rsidRPr="00CF7E7F" w:rsidRDefault="00CD3EE7" w:rsidP="00CC387C">
      <w:pPr>
        <w:spacing w:before="0" w:after="0" w:line="240" w:lineRule="auto"/>
        <w:rPr>
          <w:rFonts w:cstheme="minorHAnsi"/>
        </w:rPr>
      </w:pPr>
      <w:r w:rsidRPr="00CF7E7F">
        <w:rPr>
          <w:rFonts w:cstheme="minorHAnsi"/>
        </w:rPr>
        <w:t>Consortium for Substance Abuse Research and Evaluation</w:t>
      </w:r>
    </w:p>
    <w:p w14:paraId="021A8704" w14:textId="56B967C4" w:rsidR="00C84005" w:rsidRPr="00897003" w:rsidRDefault="00CC387C" w:rsidP="00CC387C">
      <w:pPr>
        <w:spacing w:before="0" w:after="0" w:line="240" w:lineRule="auto"/>
        <w:rPr>
          <w:rFonts w:cstheme="minorHAnsi"/>
          <w:color w:val="8CE2FF" w:themeColor="accent4" w:themeTint="66"/>
        </w:rPr>
      </w:pPr>
      <w:hyperlink r:id="rId20" w:history="1">
        <w:r w:rsidRPr="008F410B">
          <w:rPr>
            <w:rStyle w:val="Hyperlink"/>
            <w:rFonts w:cstheme="minorHAnsi"/>
            <w:color w:val="007EA7" w:themeColor="accent4" w:themeShade="BF"/>
          </w:rPr>
          <w:t>aislinn-conrad@uiowa.edu</w:t>
        </w:r>
      </w:hyperlink>
    </w:p>
    <w:p w14:paraId="69A1A4B6" w14:textId="77777777" w:rsidR="00C675D6" w:rsidRPr="00AB47A8" w:rsidRDefault="00C675D6" w:rsidP="00CC387C">
      <w:pPr>
        <w:spacing w:before="0" w:after="0" w:line="240" w:lineRule="auto"/>
        <w:rPr>
          <w:color w:val="808080" w:themeColor="background1" w:themeShade="80"/>
        </w:rPr>
      </w:pPr>
    </w:p>
    <w:p w14:paraId="11481990" w14:textId="2C273C98" w:rsidR="00C675D6" w:rsidRPr="00CF7E7F" w:rsidRDefault="00C675D6" w:rsidP="00CC387C">
      <w:pPr>
        <w:spacing w:before="0" w:after="0" w:line="240" w:lineRule="auto"/>
      </w:pPr>
      <w:r w:rsidRPr="00204F6B">
        <w:rPr>
          <w:u w:val="single"/>
        </w:rPr>
        <w:t>Sarah Strack</w:t>
      </w:r>
      <w:r w:rsidRPr="00CF7E7F">
        <w:t xml:space="preserve">, MPH </w:t>
      </w:r>
    </w:p>
    <w:p w14:paraId="2FD0AEE9" w14:textId="77777777" w:rsidR="00123036" w:rsidRPr="00CF7E7F" w:rsidRDefault="00123036" w:rsidP="00123036">
      <w:pPr>
        <w:spacing w:before="0" w:after="0" w:line="240" w:lineRule="auto"/>
      </w:pPr>
      <w:r w:rsidRPr="00CF7E7F">
        <w:t>The Center for Public Health Evaluation and Research</w:t>
      </w:r>
    </w:p>
    <w:p w14:paraId="73D2F982" w14:textId="77777777" w:rsidR="00123036" w:rsidRPr="00CF7E7F" w:rsidRDefault="00123036" w:rsidP="00123036">
      <w:pPr>
        <w:spacing w:before="0" w:after="0" w:line="240" w:lineRule="auto"/>
      </w:pPr>
      <w:r w:rsidRPr="00CF7E7F">
        <w:t>National Resource Center for Family Centered Practice</w:t>
      </w:r>
    </w:p>
    <w:p w14:paraId="3E5963BB" w14:textId="77777777" w:rsidR="00123036" w:rsidRPr="00CF7E7F" w:rsidRDefault="00123036" w:rsidP="00123036">
      <w:pPr>
        <w:spacing w:before="0" w:after="0" w:line="240" w:lineRule="auto"/>
      </w:pPr>
      <w:r w:rsidRPr="00CF7E7F">
        <w:t>Phone: 319-335-4930</w:t>
      </w:r>
    </w:p>
    <w:p w14:paraId="21F97A0F" w14:textId="4918666F" w:rsidR="00FD52EA" w:rsidRPr="008F410B" w:rsidRDefault="00FD52EA" w:rsidP="00123036">
      <w:pPr>
        <w:spacing w:before="0" w:after="0" w:line="240" w:lineRule="auto"/>
        <w:rPr>
          <w:color w:val="007EA7" w:themeColor="accent4" w:themeShade="BF"/>
        </w:rPr>
      </w:pPr>
      <w:r w:rsidRPr="008F410B">
        <w:rPr>
          <w:color w:val="007EA7" w:themeColor="accent4" w:themeShade="BF"/>
        </w:rPr>
        <w:t>sarah-strack@uiowa.edu</w:t>
      </w:r>
    </w:p>
    <w:p w14:paraId="0653CD56" w14:textId="767FDACA" w:rsidR="00123036" w:rsidRPr="00FD52EA" w:rsidRDefault="00FD52EA" w:rsidP="00123036">
      <w:pPr>
        <w:spacing w:before="0" w:after="0" w:line="240" w:lineRule="auto"/>
        <w:rPr>
          <w:b/>
          <w:color w:val="00B0F0"/>
        </w:rPr>
      </w:pPr>
      <w:r w:rsidRPr="00CF7E7F">
        <w:t xml:space="preserve">Website:  </w:t>
      </w:r>
      <w:hyperlink r:id="rId21" w:history="1">
        <w:r w:rsidRPr="003E18B5">
          <w:rPr>
            <w:rStyle w:val="Hyperlink"/>
            <w:rFonts w:ascii="Roboto" w:hAnsi="Roboto"/>
            <w:color w:val="007BB8"/>
          </w:rPr>
          <w:t>https://pubhealtheval.org.uiowa.edu</w:t>
        </w:r>
      </w:hyperlink>
    </w:p>
    <w:p w14:paraId="5FB7A105" w14:textId="730E3DEB" w:rsidR="00C84005" w:rsidRPr="00CF7E7F" w:rsidRDefault="00836332" w:rsidP="00CC387C">
      <w:pPr>
        <w:spacing w:before="0" w:after="0" w:line="240" w:lineRule="auto"/>
        <w:rPr>
          <w:rStyle w:val="Hyperlink"/>
          <w:rFonts w:cstheme="minorHAnsi"/>
          <w:i/>
          <w:color w:val="auto"/>
        </w:rPr>
      </w:pPr>
      <w:r>
        <w:rPr>
          <w:rFonts w:asciiTheme="minorHAnsi" w:hAnsiTheme="minorHAnsi" w:cstheme="minorHAnsi"/>
          <w:b/>
          <w:i/>
          <w:color w:val="808080" w:themeColor="background1" w:themeShade="80"/>
        </w:rPr>
        <w:t xml:space="preserve">                 </w:t>
      </w:r>
      <w:r w:rsidR="00897003">
        <w:rPr>
          <w:rFonts w:asciiTheme="minorHAnsi" w:hAnsiTheme="minorHAnsi" w:cstheme="minorHAnsi"/>
          <w:b/>
          <w:i/>
          <w:color w:val="808080" w:themeColor="background1" w:themeShade="80"/>
        </w:rPr>
        <w:t xml:space="preserve"> </w:t>
      </w:r>
      <w:r w:rsidRPr="003E18B5">
        <w:rPr>
          <w:rFonts w:asciiTheme="minorHAnsi" w:hAnsiTheme="minorHAnsi" w:cstheme="minorHAnsi"/>
          <w:b/>
          <w:i/>
          <w:color w:val="007BB8"/>
        </w:rPr>
        <w:t>https://icsa.uiowa.edu/</w:t>
      </w:r>
    </w:p>
    <w:p w14:paraId="5A4469FB" w14:textId="77777777" w:rsidR="00836332" w:rsidRPr="00CF7E7F" w:rsidRDefault="00836332" w:rsidP="00CC387C">
      <w:pPr>
        <w:spacing w:before="0" w:after="0" w:line="240" w:lineRule="auto"/>
        <w:rPr>
          <w:rFonts w:cstheme="minorHAnsi"/>
        </w:rPr>
      </w:pPr>
    </w:p>
    <w:p w14:paraId="4D18EE38" w14:textId="4DFD6DB4" w:rsidR="00C84005" w:rsidRPr="00CF7E7F" w:rsidRDefault="00836332" w:rsidP="00CC387C">
      <w:pPr>
        <w:spacing w:before="0" w:after="0" w:line="240" w:lineRule="auto"/>
        <w:rPr>
          <w:rFonts w:cstheme="minorHAnsi"/>
        </w:rPr>
      </w:pPr>
      <w:r w:rsidRPr="00CF7E7F">
        <w:rPr>
          <w:rFonts w:cstheme="minorHAnsi"/>
          <w:b/>
          <w:bCs/>
          <w:u w:val="single"/>
        </w:rPr>
        <w:t>Principal Investigator</w:t>
      </w:r>
      <w:r w:rsidR="00BB5B5D" w:rsidRPr="00CF7E7F">
        <w:rPr>
          <w:rFonts w:cstheme="minorHAnsi"/>
          <w:u w:val="single"/>
        </w:rPr>
        <w:t>,</w:t>
      </w:r>
      <w:r w:rsidR="00C84005" w:rsidRPr="00CF7E7F">
        <w:rPr>
          <w:rFonts w:cstheme="minorHAnsi"/>
        </w:rPr>
        <w:t xml:space="preserve"> </w:t>
      </w:r>
      <w:r w:rsidR="00BB5B5D" w:rsidRPr="00CF7E7F">
        <w:rPr>
          <w:rFonts w:cstheme="minorHAnsi"/>
        </w:rPr>
        <w:t xml:space="preserve">Brad </w:t>
      </w:r>
      <w:r w:rsidR="00C84005" w:rsidRPr="00CF7E7F">
        <w:rPr>
          <w:rFonts w:cstheme="minorHAnsi"/>
        </w:rPr>
        <w:t>Richardson, PhD</w:t>
      </w:r>
      <w:r w:rsidR="00317798" w:rsidRPr="00CF7E7F">
        <w:rPr>
          <w:rFonts w:cstheme="minorHAnsi"/>
        </w:rPr>
        <w:t>, Research Scientist</w:t>
      </w:r>
    </w:p>
    <w:p w14:paraId="24C87F7B" w14:textId="77777777" w:rsidR="00410C02" w:rsidRPr="00CF7E7F" w:rsidRDefault="00410C02" w:rsidP="00410C02">
      <w:pPr>
        <w:spacing w:before="0" w:after="0" w:line="240" w:lineRule="auto"/>
      </w:pPr>
      <w:r w:rsidRPr="00CF7E7F">
        <w:t>National Resource Center for Family Centered Practice</w:t>
      </w:r>
    </w:p>
    <w:p w14:paraId="56B22F74" w14:textId="77777777" w:rsidR="00410C02" w:rsidRPr="00CF7E7F" w:rsidRDefault="00410C02" w:rsidP="00410C02">
      <w:pPr>
        <w:spacing w:before="0" w:after="0" w:line="240" w:lineRule="auto"/>
        <w:rPr>
          <w:rFonts w:cstheme="minorHAnsi"/>
        </w:rPr>
      </w:pPr>
      <w:r w:rsidRPr="00CF7E7F">
        <w:rPr>
          <w:rFonts w:cstheme="minorHAnsi"/>
        </w:rPr>
        <w:t>Consortium for Substance Abuse Research and Evaluation</w:t>
      </w:r>
    </w:p>
    <w:p w14:paraId="5077B289" w14:textId="5551E028" w:rsidR="00C84005" w:rsidRPr="00BB5B5D" w:rsidRDefault="00410C02" w:rsidP="00CC387C">
      <w:pPr>
        <w:spacing w:before="0" w:after="0" w:line="240" w:lineRule="auto"/>
        <w:rPr>
          <w:rFonts w:cstheme="minorHAnsi"/>
          <w:color w:val="8CE2FF" w:themeColor="accent4" w:themeTint="66"/>
        </w:rPr>
      </w:pPr>
      <w:hyperlink r:id="rId22" w:history="1">
        <w:r w:rsidRPr="00A3738F">
          <w:rPr>
            <w:rStyle w:val="Hyperlink"/>
            <w:rFonts w:cstheme="minorHAnsi"/>
            <w:color w:val="00009D"/>
          </w:rPr>
          <w:t>brad-richardson@uiowa.edu</w:t>
        </w:r>
      </w:hyperlink>
    </w:p>
    <w:p w14:paraId="1B090398" w14:textId="77777777" w:rsidR="00C84005" w:rsidRPr="00CF7E7F" w:rsidRDefault="00C84005" w:rsidP="00CC387C">
      <w:pPr>
        <w:spacing w:before="0" w:after="0" w:line="240" w:lineRule="auto"/>
        <w:rPr>
          <w:rFonts w:cstheme="minorHAnsi"/>
        </w:rPr>
      </w:pPr>
      <w:r w:rsidRPr="00CF7E7F">
        <w:rPr>
          <w:rFonts w:cstheme="minorHAnsi"/>
        </w:rPr>
        <w:t>515.771.3589 (cell), 515-235-4005 (office)</w:t>
      </w:r>
    </w:p>
    <w:p w14:paraId="43DB9F2F" w14:textId="49B4CB4D" w:rsidR="00C84005" w:rsidRDefault="00BB5B5D" w:rsidP="00CC387C">
      <w:pPr>
        <w:spacing w:before="0" w:after="0" w:line="240" w:lineRule="auto"/>
        <w:rPr>
          <w:b/>
          <w:bCs/>
          <w:color w:val="8CE2FF" w:themeColor="accent4" w:themeTint="66"/>
          <w:u w:val="single"/>
        </w:rPr>
      </w:pPr>
      <w:r w:rsidRPr="00CF7E7F">
        <w:t xml:space="preserve">Website: </w:t>
      </w:r>
      <w:hyperlink r:id="rId23" w:history="1">
        <w:r w:rsidR="00ED657D" w:rsidRPr="00A3738F">
          <w:rPr>
            <w:rStyle w:val="Hyperlink"/>
            <w:rFonts w:cstheme="minorHAnsi"/>
            <w:bCs/>
            <w:color w:val="00009D"/>
          </w:rPr>
          <w:t>https://nrcfcp.uiowa.edu/</w:t>
        </w:r>
      </w:hyperlink>
    </w:p>
    <w:p w14:paraId="3BB94D56" w14:textId="2334CAE2" w:rsidR="00BB5B5D" w:rsidRPr="00AB47A8" w:rsidRDefault="00BB5B5D" w:rsidP="00BB5B5D">
      <w:pPr>
        <w:spacing w:before="0" w:after="0" w:line="240" w:lineRule="auto"/>
        <w:rPr>
          <w:rStyle w:val="Hyperlink"/>
          <w:rFonts w:cstheme="minorHAnsi"/>
          <w:i/>
          <w:color w:val="808080" w:themeColor="background1" w:themeShade="80"/>
        </w:rPr>
      </w:pPr>
      <w:r w:rsidRPr="003E18B5">
        <w:rPr>
          <w:rFonts w:asciiTheme="minorHAnsi" w:hAnsiTheme="minorHAnsi" w:cstheme="minorHAnsi"/>
          <w:b/>
          <w:i/>
          <w:color w:val="007BB8"/>
        </w:rPr>
        <w:t xml:space="preserve">                https://icsa.uiowa.edu/</w:t>
      </w:r>
    </w:p>
    <w:p w14:paraId="4ED8A0F3" w14:textId="77777777" w:rsidR="00BB5B5D" w:rsidRPr="00AB47A8" w:rsidRDefault="00BB5B5D" w:rsidP="00BB5B5D">
      <w:pPr>
        <w:spacing w:before="0" w:after="0" w:line="240" w:lineRule="auto"/>
        <w:rPr>
          <w:rStyle w:val="Hyperlink"/>
          <w:rFonts w:cstheme="minorHAnsi"/>
          <w:color w:val="808080" w:themeColor="background1" w:themeShade="80"/>
        </w:rPr>
      </w:pPr>
    </w:p>
    <w:p w14:paraId="6422C0E0" w14:textId="77777777" w:rsidR="00BB5B5D" w:rsidRPr="00BB5B5D" w:rsidRDefault="00BB5B5D" w:rsidP="00CC387C">
      <w:pPr>
        <w:spacing w:before="0" w:after="0" w:line="240" w:lineRule="auto"/>
        <w:rPr>
          <w:rStyle w:val="Hyperlink"/>
          <w:rFonts w:cstheme="minorHAnsi"/>
          <w:b w:val="0"/>
          <w:bCs/>
          <w:i/>
          <w:color w:val="8CE2FF" w:themeColor="accent4" w:themeTint="66"/>
        </w:rPr>
      </w:pPr>
    </w:p>
    <w:p w14:paraId="6F1ACFF3" w14:textId="282B17BA" w:rsidR="00C84005" w:rsidRPr="00FF19FB" w:rsidRDefault="00354519" w:rsidP="00354519">
      <w:pPr>
        <w:spacing w:after="0" w:line="240" w:lineRule="auto"/>
        <w:rPr>
          <w:rFonts w:cstheme="minorHAnsi"/>
          <w:i/>
          <w:sz w:val="18"/>
          <w:szCs w:val="18"/>
        </w:rPr>
      </w:pPr>
      <w:r w:rsidRPr="00FF19FB">
        <w:rPr>
          <w:rFonts w:cstheme="minorHAnsi"/>
          <w:sz w:val="18"/>
          <w:szCs w:val="18"/>
        </w:rPr>
        <w:t>Disclaimer and Acknowledgement: This project was partially supported by the U.S. Health Resources and Services Administration (HRSA) through a contract with the Iowa Department of Health and Human Services (CFDA No. 93.110; Grant No. U2ZMC46644) and state contract</w:t>
      </w:r>
      <w:r w:rsidR="00FF19FB" w:rsidRPr="00FF19FB">
        <w:rPr>
          <w:rFonts w:cstheme="minorHAnsi"/>
          <w:sz w:val="18"/>
          <w:szCs w:val="18"/>
        </w:rPr>
        <w:t xml:space="preserve"> with University of Iowa</w:t>
      </w:r>
      <w:r w:rsidRPr="00FF19FB">
        <w:rPr>
          <w:rFonts w:cstheme="minorHAnsi"/>
          <w:sz w:val="18"/>
          <w:szCs w:val="18"/>
        </w:rPr>
        <w:t xml:space="preserve"> </w:t>
      </w:r>
      <w:r w:rsidR="00FF19FB" w:rsidRPr="00FF19FB">
        <w:rPr>
          <w:rFonts w:cstheme="minorHAnsi"/>
          <w:sz w:val="18"/>
          <w:szCs w:val="18"/>
        </w:rPr>
        <w:t>FWBPCPSSFY25111.</w:t>
      </w:r>
      <w:r w:rsidR="00FF19FB">
        <w:rPr>
          <w:rFonts w:cstheme="minorHAnsi"/>
          <w:sz w:val="18"/>
          <w:szCs w:val="18"/>
        </w:rPr>
        <w:t xml:space="preserve"> </w:t>
      </w:r>
      <w:r w:rsidR="00FF19FB" w:rsidRPr="00FF19FB">
        <w:rPr>
          <w:rFonts w:cstheme="minorHAnsi"/>
          <w:sz w:val="18"/>
          <w:szCs w:val="18"/>
        </w:rPr>
        <w:t>Partial support is also provided by the</w:t>
      </w:r>
      <w:r w:rsidRPr="00FF19FB">
        <w:rPr>
          <w:rFonts w:cstheme="minorHAnsi"/>
          <w:sz w:val="18"/>
          <w:szCs w:val="18"/>
        </w:rPr>
        <w:t xml:space="preserve"> National Center </w:t>
      </w:r>
      <w:r w:rsidR="00FF19FB" w:rsidRPr="00FF19FB">
        <w:rPr>
          <w:rFonts w:cstheme="minorHAnsi"/>
          <w:sz w:val="18"/>
          <w:szCs w:val="18"/>
        </w:rPr>
        <w:t>f</w:t>
      </w:r>
      <w:r w:rsidRPr="00FF19FB">
        <w:rPr>
          <w:rFonts w:cstheme="minorHAnsi"/>
          <w:sz w:val="18"/>
          <w:szCs w:val="18"/>
        </w:rPr>
        <w:t xml:space="preserve">or Advancing Translational Sciences of the National Institutes of Health under Award Number UL1TR002537. The content is solely the responsibility of the authors and does not necessarily represent the official views of </w:t>
      </w:r>
      <w:r w:rsidR="00FF19FB" w:rsidRPr="00FF19FB">
        <w:rPr>
          <w:rFonts w:cstheme="minorHAnsi"/>
          <w:sz w:val="18"/>
          <w:szCs w:val="18"/>
        </w:rPr>
        <w:t xml:space="preserve">HRSA, </w:t>
      </w:r>
      <w:r w:rsidRPr="00FF19FB">
        <w:rPr>
          <w:rFonts w:cstheme="minorHAnsi"/>
          <w:sz w:val="18"/>
          <w:szCs w:val="18"/>
        </w:rPr>
        <w:t xml:space="preserve">the National Institutes of Health, Iowa Dept. of Health and Human Services or The University of Iowa.  </w:t>
      </w:r>
    </w:p>
    <w:p w14:paraId="3BDF9E4B" w14:textId="77777777" w:rsidR="00023D2F" w:rsidRDefault="00023D2F" w:rsidP="00CC387C">
      <w:pPr>
        <w:spacing w:before="0" w:after="0" w:line="240" w:lineRule="auto"/>
        <w:jc w:val="right"/>
        <w:rPr>
          <w:b/>
          <w:bCs/>
        </w:rPr>
      </w:pPr>
    </w:p>
    <w:p w14:paraId="031F407F" w14:textId="77777777" w:rsidR="00354519" w:rsidRDefault="00354519" w:rsidP="00CC387C">
      <w:pPr>
        <w:spacing w:before="0" w:after="0" w:line="240" w:lineRule="auto"/>
        <w:jc w:val="right"/>
        <w:rPr>
          <w:b/>
          <w:bCs/>
        </w:rPr>
      </w:pPr>
    </w:p>
    <w:p w14:paraId="6E56A8D0" w14:textId="77777777" w:rsidR="00354519" w:rsidRDefault="00354519" w:rsidP="00CC387C">
      <w:pPr>
        <w:spacing w:before="0" w:after="0" w:line="240" w:lineRule="auto"/>
        <w:jc w:val="right"/>
        <w:rPr>
          <w:b/>
          <w:bCs/>
        </w:rPr>
      </w:pPr>
    </w:p>
    <w:p w14:paraId="7D2B120D" w14:textId="77777777" w:rsidR="00354519" w:rsidRDefault="00354519" w:rsidP="00CC387C">
      <w:pPr>
        <w:spacing w:before="0" w:after="0" w:line="240" w:lineRule="auto"/>
        <w:jc w:val="right"/>
        <w:rPr>
          <w:b/>
          <w:bCs/>
        </w:rPr>
      </w:pPr>
    </w:p>
    <w:p w14:paraId="298877B4" w14:textId="77777777" w:rsidR="00354519" w:rsidRDefault="00354519" w:rsidP="00CC387C">
      <w:pPr>
        <w:spacing w:before="0" w:after="0" w:line="240" w:lineRule="auto"/>
        <w:jc w:val="right"/>
        <w:rPr>
          <w:b/>
          <w:bCs/>
        </w:rPr>
      </w:pPr>
    </w:p>
    <w:p w14:paraId="061C47E7" w14:textId="77777777" w:rsidR="00354519" w:rsidRDefault="00354519" w:rsidP="00CC387C">
      <w:pPr>
        <w:spacing w:before="0" w:after="0" w:line="240" w:lineRule="auto"/>
        <w:jc w:val="right"/>
        <w:rPr>
          <w:b/>
          <w:bCs/>
        </w:rPr>
      </w:pPr>
    </w:p>
    <w:p w14:paraId="28A60CB5" w14:textId="77777777" w:rsidR="00354519" w:rsidRDefault="00354519" w:rsidP="00CC387C">
      <w:pPr>
        <w:spacing w:before="0" w:after="0" w:line="240" w:lineRule="auto"/>
        <w:jc w:val="right"/>
        <w:rPr>
          <w:b/>
          <w:bCs/>
        </w:rPr>
      </w:pPr>
    </w:p>
    <w:p w14:paraId="5AE65064" w14:textId="77777777" w:rsidR="00354519" w:rsidRDefault="00354519" w:rsidP="00CC387C">
      <w:pPr>
        <w:spacing w:before="0" w:after="0" w:line="240" w:lineRule="auto"/>
        <w:jc w:val="right"/>
        <w:rPr>
          <w:b/>
          <w:bCs/>
        </w:rPr>
      </w:pPr>
    </w:p>
    <w:p w14:paraId="02B2C3D3" w14:textId="77777777" w:rsidR="00023D2F" w:rsidRDefault="00023D2F" w:rsidP="00CC387C">
      <w:pPr>
        <w:spacing w:before="0" w:after="0" w:line="240" w:lineRule="auto"/>
        <w:jc w:val="right"/>
        <w:rPr>
          <w:b/>
          <w:bCs/>
        </w:rPr>
      </w:pPr>
    </w:p>
    <w:p w14:paraId="2181C17F" w14:textId="77777777" w:rsidR="00023D2F" w:rsidRDefault="00023D2F" w:rsidP="004D60BC">
      <w:pPr>
        <w:jc w:val="right"/>
        <w:rPr>
          <w:b/>
          <w:bCs/>
        </w:rPr>
      </w:pPr>
    </w:p>
    <w:sdt>
      <w:sdtPr>
        <w:rPr>
          <w:rFonts w:ascii="Raleway" w:hAnsi="Raleway"/>
          <w:b w:val="0"/>
          <w:bCs w:val="0"/>
          <w:caps w:val="0"/>
          <w:smallCaps/>
          <w:color w:val="0000FF"/>
          <w:sz w:val="22"/>
          <w:szCs w:val="22"/>
          <w:u w:val="single"/>
        </w:rPr>
        <w:id w:val="-2127684293"/>
        <w:docPartObj>
          <w:docPartGallery w:val="Table of Contents"/>
          <w:docPartUnique/>
        </w:docPartObj>
      </w:sdtPr>
      <w:sdtEndPr>
        <w:rPr>
          <w:rFonts w:ascii="Roboto" w:hAnsi="Roboto"/>
          <w:smallCaps w:val="0"/>
          <w:noProof/>
          <w:sz w:val="20"/>
          <w:szCs w:val="20"/>
        </w:rPr>
      </w:sdtEndPr>
      <w:sdtContent>
        <w:p w14:paraId="0DE64361" w14:textId="767BB417" w:rsidR="00007CEE" w:rsidRPr="00317798" w:rsidRDefault="00DF4191" w:rsidP="0030737F">
          <w:pPr>
            <w:pStyle w:val="TOCTitle"/>
            <w:rPr>
              <w:rFonts w:asciiTheme="majorHAnsi" w:hAnsiTheme="majorHAnsi"/>
              <w:sz w:val="40"/>
              <w:szCs w:val="40"/>
            </w:rPr>
          </w:pPr>
          <w:r w:rsidRPr="00317798">
            <w:rPr>
              <w:rFonts w:asciiTheme="majorHAnsi" w:hAnsiTheme="majorHAnsi"/>
              <w:sz w:val="40"/>
              <w:szCs w:val="40"/>
            </w:rPr>
            <w:t>TABLE OF CONTENTS</w:t>
          </w:r>
        </w:p>
        <w:p w14:paraId="0F16A413" w14:textId="6803EFE1" w:rsidR="0025213F" w:rsidRDefault="00F61A80">
          <w:pPr>
            <w:pStyle w:val="TOC1"/>
            <w:tabs>
              <w:tab w:val="right" w:leader="dot" w:pos="10214"/>
            </w:tabs>
            <w:rPr>
              <w:rFonts w:eastAsiaTheme="minorEastAsia" w:cstheme="minorBidi"/>
              <w:b w:val="0"/>
              <w:bCs w:val="0"/>
              <w:iCs w:val="0"/>
              <w:noProof/>
              <w:kern w:val="2"/>
              <w14:ligatures w14:val="standardContextual"/>
            </w:rPr>
          </w:pPr>
          <w:r>
            <w:rPr>
              <w:rFonts w:asciiTheme="majorHAnsi" w:eastAsia="Times New Roman" w:hAnsiTheme="majorHAnsi"/>
              <w:i/>
              <w:iCs w:val="0"/>
              <w:noProof/>
              <w:color w:val="000000" w:themeColor="text1"/>
              <w:sz w:val="26"/>
              <w:szCs w:val="32"/>
            </w:rPr>
            <w:fldChar w:fldCharType="begin"/>
          </w:r>
          <w:r>
            <w:rPr>
              <w:rFonts w:asciiTheme="majorHAnsi" w:eastAsia="Times New Roman" w:hAnsiTheme="majorHAnsi"/>
              <w:i/>
              <w:noProof/>
              <w:color w:val="000000" w:themeColor="text1"/>
              <w:sz w:val="26"/>
              <w:szCs w:val="32"/>
            </w:rPr>
            <w:instrText xml:space="preserve"> TOC \o "1-1" \h \z \t "Heading 2,2" </w:instrText>
          </w:r>
          <w:r>
            <w:rPr>
              <w:rFonts w:asciiTheme="majorHAnsi" w:eastAsia="Times New Roman" w:hAnsiTheme="majorHAnsi"/>
              <w:i/>
              <w:iCs w:val="0"/>
              <w:noProof/>
              <w:color w:val="000000" w:themeColor="text1"/>
              <w:sz w:val="26"/>
              <w:szCs w:val="32"/>
            </w:rPr>
            <w:fldChar w:fldCharType="separate"/>
          </w:r>
          <w:hyperlink w:anchor="_Toc193367515" w:history="1">
            <w:r>
              <w:rPr>
                <w:rStyle w:val="Hyperlink"/>
                <w:noProof/>
              </w:rPr>
              <w:t>INTRODUCTION</w:t>
            </w:r>
            <w:r>
              <w:rPr>
                <w:noProof/>
                <w:webHidden/>
              </w:rPr>
              <w:tab/>
            </w:r>
            <w:r>
              <w:rPr>
                <w:noProof/>
                <w:webHidden/>
              </w:rPr>
              <w:fldChar w:fldCharType="begin"/>
            </w:r>
            <w:r>
              <w:rPr>
                <w:noProof/>
                <w:webHidden/>
              </w:rPr>
              <w:instrText xml:space="preserve"> PAGEREF _Toc193367515 \h </w:instrText>
            </w:r>
            <w:r>
              <w:rPr>
                <w:noProof/>
                <w:webHidden/>
              </w:rPr>
            </w:r>
            <w:r>
              <w:rPr>
                <w:noProof/>
                <w:webHidden/>
              </w:rPr>
              <w:fldChar w:fldCharType="separate"/>
            </w:r>
            <w:r w:rsidR="00451346">
              <w:rPr>
                <w:noProof/>
                <w:webHidden/>
              </w:rPr>
              <w:t>4</w:t>
            </w:r>
            <w:r>
              <w:rPr>
                <w:noProof/>
                <w:webHidden/>
              </w:rPr>
              <w:fldChar w:fldCharType="end"/>
            </w:r>
          </w:hyperlink>
        </w:p>
        <w:p w14:paraId="72A11FA0" w14:textId="14CC57A6" w:rsidR="0025213F" w:rsidRDefault="0025213F">
          <w:pPr>
            <w:pStyle w:val="TOC1"/>
            <w:tabs>
              <w:tab w:val="right" w:leader="dot" w:pos="10214"/>
            </w:tabs>
            <w:rPr>
              <w:rFonts w:eastAsiaTheme="minorEastAsia" w:cstheme="minorBidi"/>
              <w:b w:val="0"/>
              <w:bCs w:val="0"/>
              <w:iCs w:val="0"/>
              <w:noProof/>
              <w:kern w:val="2"/>
              <w14:ligatures w14:val="standardContextual"/>
            </w:rPr>
          </w:pPr>
          <w:hyperlink w:anchor="_Toc193367516" w:history="1">
            <w:r>
              <w:rPr>
                <w:rStyle w:val="Hyperlink"/>
                <w:noProof/>
              </w:rPr>
              <w:t>Survey Respondent Characteristics</w:t>
            </w:r>
            <w:r>
              <w:rPr>
                <w:noProof/>
                <w:webHidden/>
              </w:rPr>
              <w:tab/>
            </w:r>
            <w:r w:rsidR="0067138D">
              <w:rPr>
                <w:noProof/>
                <w:webHidden/>
              </w:rPr>
              <w:t>7</w:t>
            </w:r>
          </w:hyperlink>
        </w:p>
        <w:p w14:paraId="2A473C34" w14:textId="264B74F3" w:rsidR="0025213F" w:rsidRDefault="0025213F">
          <w:pPr>
            <w:pStyle w:val="TOC2"/>
            <w:tabs>
              <w:tab w:val="right" w:leader="dot" w:pos="10214"/>
            </w:tabs>
            <w:rPr>
              <w:rFonts w:eastAsiaTheme="minorEastAsia" w:cstheme="minorBidi"/>
              <w:b w:val="0"/>
              <w:bCs w:val="0"/>
              <w:noProof/>
              <w:kern w:val="2"/>
              <w:sz w:val="24"/>
              <w:szCs w:val="24"/>
              <w14:ligatures w14:val="standardContextual"/>
            </w:rPr>
          </w:pPr>
          <w:hyperlink w:anchor="_Toc193367517" w:history="1">
            <w:r>
              <w:rPr>
                <w:rStyle w:val="Hyperlink"/>
                <w:noProof/>
              </w:rPr>
              <w:t>Trauma-Responsive and Evidence-Based Practices</w:t>
            </w:r>
            <w:r>
              <w:rPr>
                <w:noProof/>
                <w:webHidden/>
              </w:rPr>
              <w:tab/>
            </w:r>
            <w:r w:rsidR="0067138D">
              <w:rPr>
                <w:noProof/>
                <w:webHidden/>
              </w:rPr>
              <w:t>8</w:t>
            </w:r>
          </w:hyperlink>
        </w:p>
        <w:p w14:paraId="09DD7322" w14:textId="1C5ED43C" w:rsidR="0025213F" w:rsidRDefault="0025213F">
          <w:pPr>
            <w:pStyle w:val="TOC2"/>
            <w:tabs>
              <w:tab w:val="right" w:leader="dot" w:pos="10214"/>
            </w:tabs>
            <w:rPr>
              <w:rFonts w:eastAsiaTheme="minorEastAsia" w:cstheme="minorBidi"/>
              <w:b w:val="0"/>
              <w:bCs w:val="0"/>
              <w:noProof/>
              <w:kern w:val="2"/>
              <w:sz w:val="24"/>
              <w:szCs w:val="24"/>
              <w14:ligatures w14:val="standardContextual"/>
            </w:rPr>
          </w:pPr>
          <w:hyperlink w:anchor="_Toc193367518" w:history="1">
            <w:r>
              <w:rPr>
                <w:rStyle w:val="Hyperlink"/>
                <w:noProof/>
              </w:rPr>
              <w:t>State Leadership</w:t>
            </w:r>
            <w:r>
              <w:rPr>
                <w:noProof/>
                <w:webHidden/>
              </w:rPr>
              <w:tab/>
            </w:r>
            <w:r w:rsidR="0067138D">
              <w:rPr>
                <w:noProof/>
                <w:webHidden/>
              </w:rPr>
              <w:t>16</w:t>
            </w:r>
          </w:hyperlink>
        </w:p>
        <w:p w14:paraId="0F968378" w14:textId="33BAB2EF" w:rsidR="0025213F" w:rsidRDefault="0025213F">
          <w:pPr>
            <w:pStyle w:val="TOC2"/>
            <w:tabs>
              <w:tab w:val="right" w:leader="dot" w:pos="10214"/>
            </w:tabs>
            <w:rPr>
              <w:rFonts w:eastAsiaTheme="minorEastAsia" w:cstheme="minorBidi"/>
              <w:b w:val="0"/>
              <w:bCs w:val="0"/>
              <w:noProof/>
              <w:kern w:val="2"/>
              <w:sz w:val="24"/>
              <w:szCs w:val="24"/>
              <w14:ligatures w14:val="standardContextual"/>
            </w:rPr>
          </w:pPr>
          <w:hyperlink w:anchor="_Toc193367519" w:history="1">
            <w:r>
              <w:rPr>
                <w:rStyle w:val="Hyperlink"/>
                <w:noProof/>
              </w:rPr>
              <w:t>ITCP Permanency Outcomes</w:t>
            </w:r>
            <w:r>
              <w:rPr>
                <w:noProof/>
                <w:webHidden/>
              </w:rPr>
              <w:tab/>
            </w:r>
            <w:r w:rsidR="0067138D">
              <w:rPr>
                <w:noProof/>
                <w:webHidden/>
              </w:rPr>
              <w:t>21</w:t>
            </w:r>
          </w:hyperlink>
        </w:p>
        <w:p w14:paraId="1C3E5B34" w14:textId="734E0734" w:rsidR="0025213F" w:rsidRDefault="0025213F">
          <w:pPr>
            <w:pStyle w:val="TOC1"/>
            <w:tabs>
              <w:tab w:val="right" w:leader="dot" w:pos="10214"/>
            </w:tabs>
            <w:rPr>
              <w:rFonts w:eastAsiaTheme="minorEastAsia" w:cstheme="minorBidi"/>
              <w:b w:val="0"/>
              <w:bCs w:val="0"/>
              <w:iCs w:val="0"/>
              <w:noProof/>
              <w:kern w:val="2"/>
              <w14:ligatures w14:val="standardContextual"/>
            </w:rPr>
          </w:pPr>
          <w:hyperlink w:anchor="_Toc193367520" w:history="1">
            <w:r>
              <w:rPr>
                <w:rStyle w:val="Hyperlink"/>
                <w:noProof/>
              </w:rPr>
              <w:t>CONCLUSIONS AND RECOMMENDATIONS</w:t>
            </w:r>
            <w:r>
              <w:rPr>
                <w:noProof/>
                <w:webHidden/>
              </w:rPr>
              <w:tab/>
            </w:r>
            <w:r w:rsidR="0067138D">
              <w:rPr>
                <w:noProof/>
                <w:webHidden/>
              </w:rPr>
              <w:t>23</w:t>
            </w:r>
          </w:hyperlink>
        </w:p>
        <w:p w14:paraId="686202F7" w14:textId="1F3D8DBE" w:rsidR="0010480B" w:rsidRPr="008249C4" w:rsidRDefault="00F61A80" w:rsidP="0030737F">
          <w:pPr>
            <w:pStyle w:val="TOCTitle"/>
            <w:spacing w:before="240"/>
            <w:rPr>
              <w:rFonts w:asciiTheme="majorHAnsi" w:hAnsiTheme="majorHAnsi"/>
              <w:noProof/>
              <w:sz w:val="40"/>
              <w:szCs w:val="40"/>
            </w:rPr>
          </w:pPr>
          <w:r>
            <w:rPr>
              <w:rFonts w:asciiTheme="majorHAnsi" w:eastAsia="Times New Roman" w:hAnsiTheme="majorHAnsi"/>
              <w:i/>
              <w:iCs/>
              <w:noProof/>
              <w:color w:val="000000" w:themeColor="text1"/>
              <w:sz w:val="26"/>
              <w:szCs w:val="32"/>
            </w:rPr>
            <w:fldChar w:fldCharType="end"/>
          </w:r>
          <w:r w:rsidRPr="008249C4">
            <w:rPr>
              <w:rFonts w:asciiTheme="majorHAnsi" w:hAnsiTheme="majorHAnsi"/>
              <w:sz w:val="40"/>
              <w:szCs w:val="40"/>
            </w:rPr>
            <w:t>List of figures</w:t>
          </w:r>
          <w:r w:rsidR="0002093A">
            <w:rPr>
              <w:rFonts w:asciiTheme="majorHAnsi" w:eastAsia="Times New Roman" w:hAnsiTheme="majorHAnsi"/>
              <w:i/>
              <w:iCs/>
              <w:noProof/>
              <w:color w:val="000000" w:themeColor="text1"/>
              <w:sz w:val="40"/>
              <w:szCs w:val="40"/>
            </w:rPr>
            <w:fldChar w:fldCharType="begin"/>
          </w:r>
          <w:r w:rsidRPr="008249C4">
            <w:rPr>
              <w:rFonts w:asciiTheme="majorHAnsi" w:eastAsia="Times New Roman" w:hAnsiTheme="majorHAnsi"/>
              <w:i/>
              <w:iCs/>
              <w:noProof/>
              <w:color w:val="000000" w:themeColor="text1"/>
              <w:sz w:val="40"/>
              <w:szCs w:val="40"/>
            </w:rPr>
            <w:instrText xml:space="preserve"> TOC \h \z \c "Figure" </w:instrText>
          </w:r>
          <w:r w:rsidR="0002093A">
            <w:rPr>
              <w:rFonts w:asciiTheme="majorHAnsi" w:eastAsia="Times New Roman" w:hAnsiTheme="majorHAnsi"/>
              <w:i/>
              <w:iCs/>
              <w:noProof/>
              <w:color w:val="000000" w:themeColor="text1"/>
              <w:sz w:val="40"/>
              <w:szCs w:val="40"/>
            </w:rPr>
            <w:fldChar w:fldCharType="separate"/>
          </w:r>
        </w:p>
        <w:p w14:paraId="1318A01D" w14:textId="1A683679" w:rsidR="0010480B" w:rsidRDefault="0010480B" w:rsidP="0030737F">
          <w:pPr>
            <w:pStyle w:val="TableofFigures"/>
            <w:tabs>
              <w:tab w:val="right" w:leader="dot" w:pos="10214"/>
            </w:tabs>
            <w:jc w:val="left"/>
            <w:rPr>
              <w:rFonts w:asciiTheme="minorHAnsi" w:eastAsiaTheme="minorEastAsia" w:hAnsiTheme="minorHAnsi" w:cstheme="minorBidi"/>
              <w:noProof/>
              <w:kern w:val="2"/>
              <w:sz w:val="24"/>
              <w:szCs w:val="24"/>
              <w14:ligatures w14:val="standardContextual"/>
            </w:rPr>
          </w:pPr>
          <w:hyperlink w:anchor="_Toc192537058" w:history="1">
            <w:r>
              <w:rPr>
                <w:rStyle w:val="Hyperlink"/>
                <w:noProof/>
              </w:rPr>
              <w:t>Figure 1. Trauma-Responsive Practice</w:t>
            </w:r>
            <w:r>
              <w:rPr>
                <w:noProof/>
                <w:webHidden/>
              </w:rPr>
              <w:tab/>
            </w:r>
          </w:hyperlink>
          <w:r w:rsidR="00134F23">
            <w:t>10</w:t>
          </w:r>
        </w:p>
        <w:p w14:paraId="32C33EF8" w14:textId="7FD88CE5" w:rsidR="0010480B" w:rsidRDefault="0010480B" w:rsidP="0030737F">
          <w:pPr>
            <w:pStyle w:val="TableofFigures"/>
            <w:tabs>
              <w:tab w:val="right" w:leader="dot" w:pos="10214"/>
            </w:tabs>
            <w:jc w:val="left"/>
            <w:rPr>
              <w:rFonts w:asciiTheme="minorHAnsi" w:eastAsiaTheme="minorEastAsia" w:hAnsiTheme="minorHAnsi" w:cstheme="minorBidi"/>
              <w:noProof/>
              <w:kern w:val="2"/>
              <w:sz w:val="24"/>
              <w:szCs w:val="24"/>
              <w14:ligatures w14:val="standardContextual"/>
            </w:rPr>
          </w:pPr>
          <w:hyperlink w:anchor="_Toc192537059" w:history="1">
            <w:r>
              <w:rPr>
                <w:rStyle w:val="Hyperlink"/>
                <w:noProof/>
              </w:rPr>
              <w:t>Figure 2. Evidence-Based Practices</w:t>
            </w:r>
            <w:r>
              <w:rPr>
                <w:noProof/>
                <w:webHidden/>
              </w:rPr>
              <w:tab/>
            </w:r>
            <w:r w:rsidR="00005027">
              <w:rPr>
                <w:noProof/>
                <w:webHidden/>
              </w:rPr>
              <w:t>1</w:t>
            </w:r>
          </w:hyperlink>
          <w:r w:rsidR="00134F23">
            <w:t>1</w:t>
          </w:r>
        </w:p>
        <w:p w14:paraId="0753800C" w14:textId="4C414877" w:rsidR="0010480B" w:rsidRDefault="0010480B" w:rsidP="0030737F">
          <w:pPr>
            <w:pStyle w:val="TableofFigures"/>
            <w:tabs>
              <w:tab w:val="right" w:leader="dot" w:pos="10214"/>
            </w:tabs>
            <w:jc w:val="left"/>
            <w:rPr>
              <w:rFonts w:asciiTheme="minorHAnsi" w:eastAsiaTheme="minorEastAsia" w:hAnsiTheme="minorHAnsi" w:cstheme="minorBidi"/>
              <w:noProof/>
              <w:kern w:val="2"/>
              <w:sz w:val="24"/>
              <w:szCs w:val="24"/>
              <w14:ligatures w14:val="standardContextual"/>
            </w:rPr>
          </w:pPr>
          <w:hyperlink w:anchor="_Toc192537060" w:history="1">
            <w:r>
              <w:rPr>
                <w:rStyle w:val="Hyperlink"/>
                <w:noProof/>
              </w:rPr>
              <w:t>Figure 3. I encounter barriers when trying to implement…</w:t>
            </w:r>
            <w:r>
              <w:rPr>
                <w:noProof/>
                <w:webHidden/>
              </w:rPr>
              <w:tab/>
            </w:r>
            <w:r w:rsidR="00005027">
              <w:rPr>
                <w:noProof/>
                <w:webHidden/>
              </w:rPr>
              <w:t>1</w:t>
            </w:r>
          </w:hyperlink>
          <w:r w:rsidR="00813A7D">
            <w:t>2</w:t>
          </w:r>
        </w:p>
        <w:p w14:paraId="2963F892" w14:textId="4FDFF972" w:rsidR="0010480B" w:rsidRDefault="0010480B" w:rsidP="0030737F">
          <w:pPr>
            <w:pStyle w:val="TableofFigures"/>
            <w:tabs>
              <w:tab w:val="right" w:leader="dot" w:pos="10214"/>
            </w:tabs>
            <w:jc w:val="left"/>
            <w:rPr>
              <w:rFonts w:asciiTheme="minorHAnsi" w:eastAsiaTheme="minorEastAsia" w:hAnsiTheme="minorHAnsi" w:cstheme="minorBidi"/>
              <w:noProof/>
              <w:kern w:val="2"/>
              <w:sz w:val="24"/>
              <w:szCs w:val="24"/>
              <w14:ligatures w14:val="standardContextual"/>
            </w:rPr>
          </w:pPr>
          <w:hyperlink w:anchor="_Toc192537061" w:history="1">
            <w:r>
              <w:rPr>
                <w:rStyle w:val="Hyperlink"/>
                <w:noProof/>
              </w:rPr>
              <w:t>Figure 4. Do you believe there are sufficient resources available to implement...?</w:t>
            </w:r>
            <w:r>
              <w:rPr>
                <w:noProof/>
                <w:webHidden/>
              </w:rPr>
              <w:tab/>
            </w:r>
            <w:r w:rsidR="00005027">
              <w:rPr>
                <w:noProof/>
                <w:webHidden/>
              </w:rPr>
              <w:t>1</w:t>
            </w:r>
          </w:hyperlink>
          <w:r w:rsidR="00813A7D">
            <w:t>3</w:t>
          </w:r>
        </w:p>
        <w:p w14:paraId="7B43B2F5" w14:textId="5BCCD5EF" w:rsidR="0010480B" w:rsidRDefault="0010480B" w:rsidP="0030737F">
          <w:pPr>
            <w:pStyle w:val="TableofFigures"/>
            <w:tabs>
              <w:tab w:val="right" w:leader="dot" w:pos="10214"/>
            </w:tabs>
            <w:jc w:val="left"/>
          </w:pPr>
          <w:hyperlink w:anchor="_Toc192537062" w:history="1">
            <w:r>
              <w:rPr>
                <w:rStyle w:val="Hyperlink"/>
                <w:noProof/>
              </w:rPr>
              <w:t>Figure 5. Do you believe that Safe Babies has improved your professional skills?</w:t>
            </w:r>
            <w:r>
              <w:rPr>
                <w:noProof/>
                <w:webHidden/>
              </w:rPr>
              <w:tab/>
            </w:r>
            <w:r w:rsidR="00005027">
              <w:rPr>
                <w:noProof/>
                <w:webHidden/>
              </w:rPr>
              <w:t>1</w:t>
            </w:r>
          </w:hyperlink>
          <w:r w:rsidR="00524D0E">
            <w:t>4</w:t>
          </w:r>
        </w:p>
        <w:p w14:paraId="6E6E8AF5" w14:textId="6F68F04E" w:rsidR="00A71475" w:rsidRDefault="00005027" w:rsidP="00005027">
          <w:pPr>
            <w:pStyle w:val="TableofFigures"/>
            <w:tabs>
              <w:tab w:val="right" w:leader="dot" w:pos="10214"/>
            </w:tabs>
            <w:jc w:val="left"/>
          </w:pPr>
          <w:hyperlink w:anchor="_Toc192537062" w:history="1">
            <w:r>
              <w:rPr>
                <w:rStyle w:val="Hyperlink"/>
                <w:noProof/>
              </w:rPr>
              <w:t xml:space="preserve">Figure 6. </w:t>
            </w:r>
            <w:r w:rsidRPr="00005027">
              <w:rPr>
                <w:rStyle w:val="Hyperlink"/>
                <w:noProof/>
              </w:rPr>
              <w:t>Workforce Representation and Recruitment Survey Results</w:t>
            </w:r>
            <w:r>
              <w:rPr>
                <w:noProof/>
                <w:webHidden/>
              </w:rPr>
              <w:tab/>
              <w:t>1</w:t>
            </w:r>
          </w:hyperlink>
          <w:r w:rsidR="00524D0E">
            <w:t>8</w:t>
          </w:r>
        </w:p>
        <w:p w14:paraId="0AA2BD32" w14:textId="1BB78EF5" w:rsidR="00005027" w:rsidRPr="00A71475" w:rsidRDefault="00005027" w:rsidP="00005027">
          <w:pPr>
            <w:pStyle w:val="TableofFigures"/>
            <w:tabs>
              <w:tab w:val="right" w:leader="dot" w:pos="10214"/>
            </w:tabs>
            <w:jc w:val="left"/>
          </w:pPr>
          <w:hyperlink w:anchor="_Toc192537062" w:history="1">
            <w:r>
              <w:rPr>
                <w:rStyle w:val="Hyperlink"/>
                <w:noProof/>
              </w:rPr>
              <w:t xml:space="preserve">Figure 7. </w:t>
            </w:r>
            <w:r w:rsidR="00EF69CB" w:rsidRPr="00EF69CB">
              <w:rPr>
                <w:rStyle w:val="Hyperlink"/>
                <w:noProof/>
              </w:rPr>
              <w:t>Applicant Outreach and Workforce Capacity Survey Results</w:t>
            </w:r>
            <w:r>
              <w:rPr>
                <w:noProof/>
                <w:webHidden/>
              </w:rPr>
              <w:tab/>
            </w:r>
            <w:r w:rsidR="00EF69CB">
              <w:rPr>
                <w:noProof/>
                <w:webHidden/>
              </w:rPr>
              <w:t>1</w:t>
            </w:r>
          </w:hyperlink>
          <w:r w:rsidR="00524D0E">
            <w:t>9</w:t>
          </w:r>
        </w:p>
        <w:p w14:paraId="3EC527D9" w14:textId="0624C210" w:rsidR="00005027" w:rsidRPr="00A71475" w:rsidRDefault="00005027" w:rsidP="00005027">
          <w:pPr>
            <w:pStyle w:val="TableofFigures"/>
            <w:tabs>
              <w:tab w:val="right" w:leader="dot" w:pos="10214"/>
            </w:tabs>
            <w:jc w:val="left"/>
          </w:pPr>
          <w:hyperlink w:anchor="_Toc192537062" w:history="1">
            <w:r>
              <w:rPr>
                <w:rStyle w:val="Hyperlink"/>
                <w:noProof/>
              </w:rPr>
              <w:t xml:space="preserve">Figure 8. </w:t>
            </w:r>
            <w:r w:rsidR="001654C6" w:rsidRPr="001654C6">
              <w:rPr>
                <w:rStyle w:val="Hyperlink"/>
                <w:noProof/>
              </w:rPr>
              <w:t>Equity in Family Participation Survey Results</w:t>
            </w:r>
            <w:r>
              <w:rPr>
                <w:noProof/>
                <w:webHidden/>
              </w:rPr>
              <w:tab/>
            </w:r>
          </w:hyperlink>
          <w:r w:rsidR="00524D0E">
            <w:t>20</w:t>
          </w:r>
        </w:p>
        <w:p w14:paraId="71672A63" w14:textId="1F32AE24" w:rsidR="00005027" w:rsidRPr="00005027" w:rsidRDefault="00005027" w:rsidP="00005027">
          <w:pPr>
            <w:pStyle w:val="TableofFigures"/>
            <w:tabs>
              <w:tab w:val="right" w:leader="dot" w:pos="10214"/>
            </w:tabs>
            <w:jc w:val="left"/>
          </w:pPr>
          <w:hyperlink w:anchor="_Toc192537062" w:history="1">
            <w:r>
              <w:rPr>
                <w:rStyle w:val="Hyperlink"/>
                <w:noProof/>
              </w:rPr>
              <w:t xml:space="preserve">Figure 9. </w:t>
            </w:r>
            <w:r w:rsidR="00EC435A" w:rsidRPr="00EC435A">
              <w:rPr>
                <w:rStyle w:val="Hyperlink"/>
                <w:noProof/>
              </w:rPr>
              <w:t>Perceived Leadership Support Survey Results</w:t>
            </w:r>
            <w:r>
              <w:rPr>
                <w:noProof/>
                <w:webHidden/>
              </w:rPr>
              <w:tab/>
            </w:r>
            <w:r w:rsidR="00EC435A">
              <w:rPr>
                <w:noProof/>
                <w:webHidden/>
              </w:rPr>
              <w:t>2</w:t>
            </w:r>
          </w:hyperlink>
          <w:r w:rsidR="00CC7FF5">
            <w:t>2</w:t>
          </w:r>
        </w:p>
        <w:p w14:paraId="79432ECB" w14:textId="3DB5A736" w:rsidR="0098318C" w:rsidRPr="008249C4" w:rsidRDefault="0002093A" w:rsidP="0030737F">
          <w:pPr>
            <w:pStyle w:val="TOCTitle"/>
            <w:spacing w:before="240"/>
            <w:rPr>
              <w:rFonts w:asciiTheme="majorHAnsi" w:hAnsiTheme="majorHAnsi"/>
              <w:sz w:val="40"/>
              <w:szCs w:val="40"/>
            </w:rPr>
          </w:pPr>
          <w:r>
            <w:rPr>
              <w:rFonts w:asciiTheme="majorHAnsi" w:eastAsia="Times New Roman" w:hAnsiTheme="majorHAnsi"/>
              <w:i/>
              <w:iCs/>
              <w:noProof/>
              <w:color w:val="000000" w:themeColor="text1"/>
              <w:sz w:val="26"/>
              <w:szCs w:val="32"/>
            </w:rPr>
            <w:fldChar w:fldCharType="end"/>
          </w:r>
          <w:r w:rsidRPr="008249C4">
            <w:rPr>
              <w:rFonts w:asciiTheme="majorHAnsi" w:hAnsiTheme="majorHAnsi"/>
              <w:sz w:val="40"/>
              <w:szCs w:val="40"/>
            </w:rPr>
            <w:t>List of Tables</w:t>
          </w:r>
        </w:p>
        <w:p w14:paraId="1347FF04" w14:textId="24A49129" w:rsidR="00E6496E" w:rsidRDefault="000431C1">
          <w:pPr>
            <w:pStyle w:val="TableofFigures"/>
            <w:tabs>
              <w:tab w:val="right" w:leader="dot" w:pos="10214"/>
            </w:tabs>
            <w:rPr>
              <w:rFonts w:asciiTheme="minorHAnsi" w:eastAsiaTheme="minorEastAsia" w:hAnsiTheme="minorHAnsi" w:cstheme="minorBidi"/>
              <w:noProof/>
              <w:kern w:val="2"/>
              <w:sz w:val="24"/>
              <w:szCs w:val="24"/>
              <w14:ligatures w14:val="standardContextual"/>
            </w:rPr>
          </w:pPr>
          <w:r>
            <w:rPr>
              <w:noProof/>
            </w:rPr>
            <w:fldChar w:fldCharType="begin"/>
          </w:r>
          <w:r>
            <w:rPr>
              <w:noProof/>
            </w:rPr>
            <w:instrText xml:space="preserve"> TOC \h \z \c "Table" </w:instrText>
          </w:r>
          <w:r>
            <w:rPr>
              <w:noProof/>
            </w:rPr>
            <w:fldChar w:fldCharType="separate"/>
          </w:r>
          <w:hyperlink w:anchor="_Toc193367411" w:history="1">
            <w:r>
              <w:rPr>
                <w:rStyle w:val="Hyperlink"/>
                <w:noProof/>
              </w:rPr>
              <w:t>Table 1. What types of evidence-based and/or trauma-responsive practices do you use in working with ITCP?</w:t>
            </w:r>
            <w:r>
              <w:rPr>
                <w:noProof/>
                <w:webHidden/>
              </w:rPr>
              <w:tab/>
            </w:r>
            <w:r w:rsidR="00EC435A">
              <w:rPr>
                <w:noProof/>
                <w:webHidden/>
              </w:rPr>
              <w:t>1</w:t>
            </w:r>
            <w:r w:rsidR="00181890">
              <w:rPr>
                <w:noProof/>
                <w:webHidden/>
              </w:rPr>
              <w:t>5</w:t>
            </w:r>
          </w:hyperlink>
        </w:p>
        <w:p w14:paraId="4C0EF998" w14:textId="3428F270" w:rsidR="00E6496E" w:rsidRDefault="00E6496E">
          <w:pPr>
            <w:pStyle w:val="TableofFigures"/>
            <w:tabs>
              <w:tab w:val="right" w:leader="dot" w:pos="10214"/>
            </w:tabs>
            <w:rPr>
              <w:rFonts w:asciiTheme="minorHAnsi" w:eastAsiaTheme="minorEastAsia" w:hAnsiTheme="minorHAnsi" w:cstheme="minorBidi"/>
              <w:noProof/>
              <w:kern w:val="2"/>
              <w:sz w:val="24"/>
              <w:szCs w:val="24"/>
              <w14:ligatures w14:val="standardContextual"/>
            </w:rPr>
          </w:pPr>
          <w:hyperlink w:anchor="_Toc193367412" w:history="1">
            <w:r>
              <w:rPr>
                <w:rStyle w:val="Hyperlink"/>
                <w:noProof/>
              </w:rPr>
              <w:t>Table 2. What barriers do you encounter when implementing trauma-responsive or evidence-based practices?</w:t>
            </w:r>
            <w:r>
              <w:rPr>
                <w:noProof/>
                <w:webHidden/>
              </w:rPr>
              <w:tab/>
            </w:r>
            <w:r w:rsidR="00EC435A">
              <w:rPr>
                <w:noProof/>
                <w:webHidden/>
              </w:rPr>
              <w:t>1</w:t>
            </w:r>
            <w:r w:rsidR="00181890">
              <w:rPr>
                <w:noProof/>
                <w:webHidden/>
              </w:rPr>
              <w:t>6</w:t>
            </w:r>
          </w:hyperlink>
        </w:p>
        <w:p w14:paraId="758A1E72" w14:textId="16B8749E" w:rsidR="00E6496E" w:rsidRDefault="00E6496E">
          <w:pPr>
            <w:pStyle w:val="TableofFigures"/>
            <w:tabs>
              <w:tab w:val="right" w:leader="dot" w:pos="10214"/>
            </w:tabs>
            <w:rPr>
              <w:rFonts w:asciiTheme="minorHAnsi" w:eastAsiaTheme="minorEastAsia" w:hAnsiTheme="minorHAnsi" w:cstheme="minorBidi"/>
              <w:noProof/>
              <w:kern w:val="2"/>
              <w:sz w:val="24"/>
              <w:szCs w:val="24"/>
              <w14:ligatures w14:val="standardContextual"/>
            </w:rPr>
          </w:pPr>
          <w:hyperlink w:anchor="_Toc193367413" w:history="1">
            <w:r>
              <w:rPr>
                <w:rStyle w:val="Hyperlink"/>
                <w:noProof/>
              </w:rPr>
              <w:t>Table 3. What areas should trauma-informed trainings focus on to address your professional needs?</w:t>
            </w:r>
            <w:r>
              <w:rPr>
                <w:noProof/>
                <w:webHidden/>
              </w:rPr>
              <w:tab/>
            </w:r>
            <w:r w:rsidR="00EC435A">
              <w:rPr>
                <w:noProof/>
                <w:webHidden/>
              </w:rPr>
              <w:t>1</w:t>
            </w:r>
            <w:r w:rsidR="00181890">
              <w:rPr>
                <w:noProof/>
                <w:webHidden/>
              </w:rPr>
              <w:t>7</w:t>
            </w:r>
          </w:hyperlink>
        </w:p>
        <w:p w14:paraId="4EBF00A3" w14:textId="01128150" w:rsidR="00E6496E" w:rsidRDefault="00E6496E">
          <w:pPr>
            <w:pStyle w:val="TableofFigures"/>
            <w:tabs>
              <w:tab w:val="right" w:leader="dot" w:pos="10214"/>
            </w:tabs>
            <w:rPr>
              <w:rFonts w:asciiTheme="minorHAnsi" w:eastAsiaTheme="minorEastAsia" w:hAnsiTheme="minorHAnsi" w:cstheme="minorBidi"/>
              <w:noProof/>
              <w:kern w:val="2"/>
              <w:sz w:val="24"/>
              <w:szCs w:val="24"/>
              <w14:ligatures w14:val="standardContextual"/>
            </w:rPr>
          </w:pPr>
          <w:hyperlink w:anchor="_Toc193367414" w:history="1">
            <w:r>
              <w:rPr>
                <w:rStyle w:val="Hyperlink"/>
                <w:noProof/>
              </w:rPr>
              <w:t>Table 4. Who determines which families participate in Safe Babies?</w:t>
            </w:r>
            <w:r>
              <w:rPr>
                <w:noProof/>
                <w:webHidden/>
              </w:rPr>
              <w:tab/>
            </w:r>
            <w:r w:rsidR="00134F23">
              <w:rPr>
                <w:noProof/>
                <w:webHidden/>
              </w:rPr>
              <w:t>20</w:t>
            </w:r>
          </w:hyperlink>
        </w:p>
        <w:p w14:paraId="10884569" w14:textId="5EEF026E" w:rsidR="00E6496E" w:rsidRDefault="00E6496E">
          <w:pPr>
            <w:pStyle w:val="TableofFigures"/>
            <w:tabs>
              <w:tab w:val="right" w:leader="dot" w:pos="10214"/>
            </w:tabs>
            <w:rPr>
              <w:rFonts w:asciiTheme="minorHAnsi" w:eastAsiaTheme="minorEastAsia" w:hAnsiTheme="minorHAnsi" w:cstheme="minorBidi"/>
              <w:noProof/>
              <w:kern w:val="2"/>
              <w:sz w:val="24"/>
              <w:szCs w:val="24"/>
              <w14:ligatures w14:val="standardContextual"/>
            </w:rPr>
          </w:pPr>
          <w:hyperlink w:anchor="_Toc193367415" w:history="1">
            <w:r>
              <w:rPr>
                <w:rStyle w:val="Hyperlink"/>
                <w:noProof/>
              </w:rPr>
              <w:t>Table 5. Permanency Outcomes by Reason for Removal</w:t>
            </w:r>
            <w:r>
              <w:rPr>
                <w:noProof/>
                <w:webHidden/>
              </w:rPr>
              <w:tab/>
            </w:r>
            <w:r w:rsidR="00EC435A">
              <w:rPr>
                <w:noProof/>
                <w:webHidden/>
              </w:rPr>
              <w:t>2</w:t>
            </w:r>
            <w:r w:rsidR="00134F23">
              <w:rPr>
                <w:noProof/>
                <w:webHidden/>
              </w:rPr>
              <w:t>3</w:t>
            </w:r>
          </w:hyperlink>
        </w:p>
        <w:p w14:paraId="15163E12" w14:textId="56DB789A" w:rsidR="00960C82" w:rsidRDefault="000431C1" w:rsidP="0030737F">
          <w:pPr>
            <w:tabs>
              <w:tab w:val="left" w:pos="808"/>
            </w:tabs>
            <w:jc w:val="left"/>
            <w:rPr>
              <w:noProof/>
            </w:rPr>
          </w:pPr>
          <w:r>
            <w:rPr>
              <w:noProof/>
            </w:rPr>
            <w:lastRenderedPageBreak/>
            <w:fldChar w:fldCharType="end"/>
          </w:r>
        </w:p>
      </w:sdtContent>
    </w:sdt>
    <w:p w14:paraId="2B8C6B8D" w14:textId="3598A371" w:rsidR="00DE0648" w:rsidRPr="00410C02" w:rsidRDefault="007A4F3C" w:rsidP="0030737F">
      <w:pPr>
        <w:pStyle w:val="Heading1"/>
        <w:rPr>
          <w:szCs w:val="40"/>
        </w:rPr>
      </w:pPr>
      <w:bookmarkStart w:id="6" w:name="_Toc193367515"/>
      <w:r w:rsidRPr="00410C02">
        <w:rPr>
          <w:szCs w:val="40"/>
        </w:rPr>
        <w:t>INTRODUCTION</w:t>
      </w:r>
      <w:bookmarkEnd w:id="6"/>
    </w:p>
    <w:p w14:paraId="1C421002" w14:textId="5F48FBEB" w:rsidR="00001073" w:rsidRDefault="001438C7" w:rsidP="0030737F">
      <w:pPr>
        <w:jc w:val="left"/>
        <w:rPr>
          <w:sz w:val="24"/>
          <w:szCs w:val="24"/>
        </w:rPr>
      </w:pPr>
      <w:r>
        <w:rPr>
          <w:sz w:val="24"/>
          <w:szCs w:val="24"/>
        </w:rPr>
        <w:t xml:space="preserve">The Infant-Toddler Court Program (ITCP) is </w:t>
      </w:r>
      <w:r w:rsidR="000F18BF">
        <w:rPr>
          <w:sz w:val="24"/>
          <w:szCs w:val="24"/>
        </w:rPr>
        <w:t xml:space="preserve">designed as </w:t>
      </w:r>
      <w:r>
        <w:rPr>
          <w:sz w:val="24"/>
          <w:szCs w:val="24"/>
        </w:rPr>
        <w:t>a</w:t>
      </w:r>
      <w:r w:rsidR="00410C02">
        <w:rPr>
          <w:sz w:val="24"/>
          <w:szCs w:val="24"/>
        </w:rPr>
        <w:t xml:space="preserve">n intervention </w:t>
      </w:r>
      <w:r w:rsidR="004D7193">
        <w:rPr>
          <w:sz w:val="24"/>
          <w:szCs w:val="24"/>
        </w:rPr>
        <w:t>and</w:t>
      </w:r>
      <w:r>
        <w:rPr>
          <w:sz w:val="24"/>
          <w:szCs w:val="24"/>
        </w:rPr>
        <w:t xml:space="preserve"> </w:t>
      </w:r>
      <w:r w:rsidR="00DB7FAE">
        <w:rPr>
          <w:sz w:val="24"/>
          <w:szCs w:val="24"/>
        </w:rPr>
        <w:t>community collaborat</w:t>
      </w:r>
      <w:r w:rsidR="004D7193">
        <w:rPr>
          <w:sz w:val="24"/>
          <w:szCs w:val="24"/>
        </w:rPr>
        <w:t>ive approach</w:t>
      </w:r>
      <w:r w:rsidR="00DB7FAE">
        <w:rPr>
          <w:sz w:val="24"/>
          <w:szCs w:val="24"/>
        </w:rPr>
        <w:t xml:space="preserve"> designed to advance family centered policies and systems to prevent and reduce involvement in public child welfare. Core components include a </w:t>
      </w:r>
      <w:r w:rsidR="00DB7FAE" w:rsidRPr="00DB7FAE">
        <w:rPr>
          <w:sz w:val="24"/>
          <w:szCs w:val="24"/>
        </w:rPr>
        <w:t xml:space="preserve">judge </w:t>
      </w:r>
      <w:r w:rsidR="000F18BF">
        <w:rPr>
          <w:sz w:val="24"/>
          <w:szCs w:val="24"/>
        </w:rPr>
        <w:t>to</w:t>
      </w:r>
      <w:r w:rsidR="00DB7FAE" w:rsidRPr="00DB7FAE">
        <w:rPr>
          <w:sz w:val="24"/>
          <w:szCs w:val="24"/>
        </w:rPr>
        <w:t xml:space="preserve"> champion the model</w:t>
      </w:r>
      <w:r w:rsidR="00DB7FAE">
        <w:rPr>
          <w:sz w:val="24"/>
          <w:szCs w:val="24"/>
        </w:rPr>
        <w:t xml:space="preserve">, </w:t>
      </w:r>
      <w:r w:rsidR="00001073">
        <w:rPr>
          <w:sz w:val="24"/>
          <w:szCs w:val="24"/>
        </w:rPr>
        <w:t xml:space="preserve">a </w:t>
      </w:r>
      <w:r w:rsidR="00DB7FAE" w:rsidRPr="00DB7FAE">
        <w:rPr>
          <w:sz w:val="24"/>
          <w:szCs w:val="24"/>
        </w:rPr>
        <w:t>full‑time Community Coordinator</w:t>
      </w:r>
      <w:r w:rsidR="00DB7FAE">
        <w:rPr>
          <w:sz w:val="24"/>
          <w:szCs w:val="24"/>
        </w:rPr>
        <w:t xml:space="preserve">, an active interdisciplinary </w:t>
      </w:r>
      <w:r w:rsidR="00001073">
        <w:rPr>
          <w:sz w:val="24"/>
          <w:szCs w:val="24"/>
        </w:rPr>
        <w:t xml:space="preserve">team of </w:t>
      </w:r>
      <w:r w:rsidR="00DB7FAE">
        <w:rPr>
          <w:sz w:val="24"/>
          <w:szCs w:val="24"/>
        </w:rPr>
        <w:t xml:space="preserve">community </w:t>
      </w:r>
      <w:r w:rsidR="00001073">
        <w:rPr>
          <w:sz w:val="24"/>
          <w:szCs w:val="24"/>
        </w:rPr>
        <w:t>partners</w:t>
      </w:r>
      <w:r w:rsidR="00DB7FAE" w:rsidRPr="00DB7FAE">
        <w:rPr>
          <w:sz w:val="24"/>
          <w:szCs w:val="24"/>
        </w:rPr>
        <w:t xml:space="preserve"> </w:t>
      </w:r>
      <w:r w:rsidR="00DB7FAE">
        <w:rPr>
          <w:sz w:val="24"/>
          <w:szCs w:val="24"/>
        </w:rPr>
        <w:t>(e.g., child welfare case managers, community coordinator, attorneys, early childhood providers), c</w:t>
      </w:r>
      <w:r w:rsidR="00DB7FAE" w:rsidRPr="00DB7FAE">
        <w:rPr>
          <w:sz w:val="24"/>
          <w:szCs w:val="24"/>
        </w:rPr>
        <w:t>ommitment to data collection</w:t>
      </w:r>
      <w:r w:rsidR="00DB7FAE">
        <w:rPr>
          <w:sz w:val="24"/>
          <w:szCs w:val="24"/>
        </w:rPr>
        <w:t xml:space="preserve">, evaluation and continuous quality improvement, rapid service access, systems level collaboration </w:t>
      </w:r>
      <w:r w:rsidR="00001073">
        <w:rPr>
          <w:sz w:val="24"/>
          <w:szCs w:val="24"/>
        </w:rPr>
        <w:t>at the state and local levels</w:t>
      </w:r>
      <w:r w:rsidR="000F18BF">
        <w:rPr>
          <w:sz w:val="24"/>
          <w:szCs w:val="24"/>
        </w:rPr>
        <w:t>,</w:t>
      </w:r>
      <w:r w:rsidR="00001073">
        <w:rPr>
          <w:sz w:val="24"/>
          <w:szCs w:val="24"/>
        </w:rPr>
        <w:t xml:space="preserve"> and t</w:t>
      </w:r>
      <w:r w:rsidR="00DB7FAE" w:rsidRPr="00DB7FAE">
        <w:rPr>
          <w:sz w:val="24"/>
          <w:szCs w:val="24"/>
        </w:rPr>
        <w:t xml:space="preserve">raining and support from </w:t>
      </w:r>
      <w:r w:rsidR="00001073">
        <w:rPr>
          <w:sz w:val="24"/>
          <w:szCs w:val="24"/>
        </w:rPr>
        <w:t>the Zero To Three</w:t>
      </w:r>
      <w:r w:rsidR="00DB7FAE" w:rsidRPr="00DB7FAE">
        <w:rPr>
          <w:sz w:val="24"/>
          <w:szCs w:val="24"/>
        </w:rPr>
        <w:t xml:space="preserve"> National Resource Center</w:t>
      </w:r>
      <w:r w:rsidR="00001073">
        <w:rPr>
          <w:sz w:val="24"/>
          <w:szCs w:val="24"/>
        </w:rPr>
        <w:t xml:space="preserve">. </w:t>
      </w:r>
    </w:p>
    <w:p w14:paraId="71E972FA" w14:textId="751460C7" w:rsidR="001438C7" w:rsidRPr="001438C7" w:rsidRDefault="00001073" w:rsidP="0030737F">
      <w:pPr>
        <w:jc w:val="left"/>
        <w:rPr>
          <w:sz w:val="24"/>
          <w:szCs w:val="24"/>
        </w:rPr>
      </w:pPr>
      <w:r>
        <w:rPr>
          <w:sz w:val="24"/>
          <w:szCs w:val="24"/>
        </w:rPr>
        <w:t xml:space="preserve">Overall, the approach </w:t>
      </w:r>
      <w:r w:rsidR="00617C22">
        <w:rPr>
          <w:sz w:val="24"/>
          <w:szCs w:val="24"/>
        </w:rPr>
        <w:t>involves employing</w:t>
      </w:r>
      <w:r>
        <w:rPr>
          <w:sz w:val="24"/>
          <w:szCs w:val="24"/>
        </w:rPr>
        <w:t xml:space="preserve"> </w:t>
      </w:r>
      <w:r w:rsidR="001438C7">
        <w:rPr>
          <w:sz w:val="24"/>
          <w:szCs w:val="24"/>
        </w:rPr>
        <w:t xml:space="preserve">trauma-informed principles and early childhood best practices to </w:t>
      </w:r>
      <w:r w:rsidR="000F18BF">
        <w:rPr>
          <w:sz w:val="24"/>
          <w:szCs w:val="24"/>
        </w:rPr>
        <w:t>provide</w:t>
      </w:r>
      <w:r w:rsidR="001438C7">
        <w:rPr>
          <w:sz w:val="24"/>
          <w:szCs w:val="24"/>
        </w:rPr>
        <w:t xml:space="preserve"> children </w:t>
      </w:r>
      <w:r w:rsidR="000F18BF">
        <w:rPr>
          <w:sz w:val="24"/>
          <w:szCs w:val="24"/>
        </w:rPr>
        <w:t>with</w:t>
      </w:r>
      <w:r w:rsidR="001438C7">
        <w:rPr>
          <w:sz w:val="24"/>
          <w:szCs w:val="24"/>
        </w:rPr>
        <w:t xml:space="preserve"> stable, nurturing</w:t>
      </w:r>
      <w:r>
        <w:rPr>
          <w:sz w:val="24"/>
          <w:szCs w:val="24"/>
        </w:rPr>
        <w:t>, supportive and healthy</w:t>
      </w:r>
      <w:r w:rsidR="001438C7">
        <w:rPr>
          <w:sz w:val="24"/>
          <w:szCs w:val="24"/>
        </w:rPr>
        <w:t xml:space="preserve"> environments</w:t>
      </w:r>
      <w:r>
        <w:rPr>
          <w:sz w:val="24"/>
          <w:szCs w:val="24"/>
        </w:rPr>
        <w:t xml:space="preserve">. Intensive services are </w:t>
      </w:r>
      <w:r w:rsidR="001438C7">
        <w:rPr>
          <w:sz w:val="24"/>
          <w:szCs w:val="24"/>
        </w:rPr>
        <w:t>coordinate</w:t>
      </w:r>
      <w:r>
        <w:rPr>
          <w:sz w:val="24"/>
          <w:szCs w:val="24"/>
        </w:rPr>
        <w:t>d</w:t>
      </w:r>
      <w:r w:rsidR="001438C7">
        <w:rPr>
          <w:sz w:val="24"/>
          <w:szCs w:val="24"/>
        </w:rPr>
        <w:t xml:space="preserve"> </w:t>
      </w:r>
      <w:r>
        <w:rPr>
          <w:sz w:val="24"/>
          <w:szCs w:val="24"/>
        </w:rPr>
        <w:t>to</w:t>
      </w:r>
      <w:r w:rsidR="001438C7">
        <w:rPr>
          <w:sz w:val="24"/>
          <w:szCs w:val="24"/>
        </w:rPr>
        <w:t xml:space="preserve"> support </w:t>
      </w:r>
      <w:r>
        <w:rPr>
          <w:sz w:val="24"/>
          <w:szCs w:val="24"/>
        </w:rPr>
        <w:t>individual family needs</w:t>
      </w:r>
      <w:r w:rsidR="008F0302">
        <w:rPr>
          <w:sz w:val="24"/>
          <w:szCs w:val="24"/>
        </w:rPr>
        <w:t xml:space="preserve">, promote early childhood development, and well-being. </w:t>
      </w:r>
      <w:r>
        <w:rPr>
          <w:sz w:val="24"/>
          <w:szCs w:val="24"/>
        </w:rPr>
        <w:t xml:space="preserve"> Formal goals </w:t>
      </w:r>
      <w:r w:rsidR="000F18BF">
        <w:rPr>
          <w:sz w:val="24"/>
          <w:szCs w:val="24"/>
        </w:rPr>
        <w:t>include</w:t>
      </w:r>
      <w:r w:rsidR="001438C7">
        <w:rPr>
          <w:sz w:val="24"/>
          <w:szCs w:val="24"/>
        </w:rPr>
        <w:t xml:space="preserve"> reduc</w:t>
      </w:r>
      <w:r w:rsidR="000F18BF">
        <w:rPr>
          <w:sz w:val="24"/>
          <w:szCs w:val="24"/>
        </w:rPr>
        <w:t>ing</w:t>
      </w:r>
      <w:r w:rsidR="001438C7">
        <w:rPr>
          <w:sz w:val="24"/>
          <w:szCs w:val="24"/>
        </w:rPr>
        <w:t xml:space="preserve"> the time young children spend in foster care, increas</w:t>
      </w:r>
      <w:r w:rsidR="000F18BF">
        <w:rPr>
          <w:sz w:val="24"/>
          <w:szCs w:val="24"/>
        </w:rPr>
        <w:t>ing</w:t>
      </w:r>
      <w:r w:rsidR="001438C7">
        <w:rPr>
          <w:sz w:val="24"/>
          <w:szCs w:val="24"/>
        </w:rPr>
        <w:t xml:space="preserve"> family stability, and promot</w:t>
      </w:r>
      <w:r w:rsidR="000F18BF">
        <w:rPr>
          <w:sz w:val="24"/>
          <w:szCs w:val="24"/>
        </w:rPr>
        <w:t>ing</w:t>
      </w:r>
      <w:r w:rsidR="001438C7">
        <w:rPr>
          <w:sz w:val="24"/>
          <w:szCs w:val="24"/>
        </w:rPr>
        <w:t xml:space="preserve"> </w:t>
      </w:r>
      <w:r w:rsidR="000F18BF">
        <w:rPr>
          <w:sz w:val="24"/>
          <w:szCs w:val="24"/>
        </w:rPr>
        <w:t xml:space="preserve">achievement of </w:t>
      </w:r>
      <w:r w:rsidR="001438C7">
        <w:rPr>
          <w:sz w:val="24"/>
          <w:szCs w:val="24"/>
        </w:rPr>
        <w:t>positive developmental outcomes (</w:t>
      </w:r>
      <w:hyperlink r:id="rId24" w:history="1">
        <w:r w:rsidR="001438C7">
          <w:rPr>
            <w:rStyle w:val="Hyperlink"/>
            <w:sz w:val="24"/>
            <w:szCs w:val="24"/>
          </w:rPr>
          <w:t>Joseph et al., 2023</w:t>
        </w:r>
      </w:hyperlink>
      <w:r w:rsidR="001438C7">
        <w:rPr>
          <w:sz w:val="24"/>
          <w:szCs w:val="24"/>
        </w:rPr>
        <w:t>).</w:t>
      </w:r>
    </w:p>
    <w:p w14:paraId="633CE623" w14:textId="75F16C50" w:rsidR="00E72A8A" w:rsidRPr="001438C7" w:rsidRDefault="001438C7" w:rsidP="0030737F">
      <w:pPr>
        <w:jc w:val="left"/>
        <w:rPr>
          <w:sz w:val="24"/>
          <w:szCs w:val="24"/>
        </w:rPr>
      </w:pPr>
      <w:r>
        <w:rPr>
          <w:sz w:val="24"/>
          <w:szCs w:val="24"/>
        </w:rPr>
        <w:t xml:space="preserve">As part of </w:t>
      </w:r>
      <w:r w:rsidR="00617C22">
        <w:rPr>
          <w:sz w:val="24"/>
          <w:szCs w:val="24"/>
        </w:rPr>
        <w:t>the commitment to data collection, evaluation and</w:t>
      </w:r>
      <w:r>
        <w:rPr>
          <w:sz w:val="24"/>
          <w:szCs w:val="24"/>
        </w:rPr>
        <w:t xml:space="preserve"> continuous quality improvement, the University of Iowa</w:t>
      </w:r>
      <w:r w:rsidR="00617C22">
        <w:rPr>
          <w:sz w:val="24"/>
          <w:szCs w:val="24"/>
        </w:rPr>
        <w:t xml:space="preserve"> School of Social Work, National Resource Center for Family Centered Practice</w:t>
      </w:r>
      <w:r>
        <w:rPr>
          <w:sz w:val="24"/>
          <w:szCs w:val="24"/>
        </w:rPr>
        <w:t>, the</w:t>
      </w:r>
      <w:r w:rsidR="00617C22">
        <w:rPr>
          <w:sz w:val="24"/>
          <w:szCs w:val="24"/>
        </w:rPr>
        <w:t xml:space="preserve"> local implementation team and the </w:t>
      </w:r>
      <w:r>
        <w:rPr>
          <w:sz w:val="24"/>
          <w:szCs w:val="24"/>
        </w:rPr>
        <w:t>Iowa Department of Health and Human Services (Iowa HHS</w:t>
      </w:r>
      <w:r w:rsidR="00617C22">
        <w:rPr>
          <w:sz w:val="24"/>
          <w:szCs w:val="24"/>
        </w:rPr>
        <w:t>, state administrative agency</w:t>
      </w:r>
      <w:r>
        <w:rPr>
          <w:sz w:val="24"/>
          <w:szCs w:val="24"/>
        </w:rPr>
        <w:t xml:space="preserve">), </w:t>
      </w:r>
      <w:r w:rsidR="00617C22">
        <w:rPr>
          <w:sz w:val="24"/>
          <w:szCs w:val="24"/>
        </w:rPr>
        <w:t xml:space="preserve">have collaborated to conduct a </w:t>
      </w:r>
      <w:r>
        <w:rPr>
          <w:sz w:val="24"/>
          <w:szCs w:val="24"/>
        </w:rPr>
        <w:t xml:space="preserve">local evaluation </w:t>
      </w:r>
      <w:r w:rsidR="00617C22">
        <w:rPr>
          <w:sz w:val="24"/>
          <w:szCs w:val="24"/>
        </w:rPr>
        <w:t>of the</w:t>
      </w:r>
      <w:r>
        <w:rPr>
          <w:sz w:val="24"/>
          <w:szCs w:val="24"/>
        </w:rPr>
        <w:t xml:space="preserve"> Safe Babies approach in Polk County</w:t>
      </w:r>
      <w:r w:rsidR="00617C22">
        <w:rPr>
          <w:sz w:val="24"/>
          <w:szCs w:val="24"/>
        </w:rPr>
        <w:t>, Iowa.</w:t>
      </w:r>
      <w:r>
        <w:rPr>
          <w:sz w:val="24"/>
          <w:szCs w:val="24"/>
        </w:rPr>
        <w:t xml:space="preserve"> Th</w:t>
      </w:r>
      <w:r w:rsidR="00617C22">
        <w:rPr>
          <w:sz w:val="24"/>
          <w:szCs w:val="24"/>
        </w:rPr>
        <w:t>e</w:t>
      </w:r>
      <w:r>
        <w:rPr>
          <w:sz w:val="24"/>
          <w:szCs w:val="24"/>
        </w:rPr>
        <w:t xml:space="preserve"> </w:t>
      </w:r>
      <w:r w:rsidR="00617C22">
        <w:rPr>
          <w:sz w:val="24"/>
          <w:szCs w:val="24"/>
        </w:rPr>
        <w:t>specific</w:t>
      </w:r>
      <w:r>
        <w:rPr>
          <w:sz w:val="24"/>
          <w:szCs w:val="24"/>
        </w:rPr>
        <w:t xml:space="preserve"> aims</w:t>
      </w:r>
      <w:r w:rsidR="00617C22">
        <w:rPr>
          <w:sz w:val="24"/>
          <w:szCs w:val="24"/>
        </w:rPr>
        <w:t xml:space="preserve"> of the evaluation are to</w:t>
      </w:r>
      <w:r>
        <w:rPr>
          <w:sz w:val="24"/>
          <w:szCs w:val="24"/>
        </w:rPr>
        <w:t xml:space="preserve"> assess</w:t>
      </w:r>
      <w:r w:rsidR="00617C22">
        <w:rPr>
          <w:sz w:val="24"/>
          <w:szCs w:val="24"/>
        </w:rPr>
        <w:t xml:space="preserve"> </w:t>
      </w:r>
      <w:r>
        <w:rPr>
          <w:sz w:val="24"/>
          <w:szCs w:val="24"/>
        </w:rPr>
        <w:t>the effectiveness</w:t>
      </w:r>
      <w:r w:rsidR="00617C22">
        <w:rPr>
          <w:sz w:val="24"/>
          <w:szCs w:val="24"/>
        </w:rPr>
        <w:t xml:space="preserve"> of</w:t>
      </w:r>
      <w:r w:rsidR="00B54AA1">
        <w:rPr>
          <w:sz w:val="24"/>
          <w:szCs w:val="24"/>
        </w:rPr>
        <w:t xml:space="preserve"> </w:t>
      </w:r>
      <w:r w:rsidR="00617C22">
        <w:rPr>
          <w:sz w:val="24"/>
          <w:szCs w:val="24"/>
        </w:rPr>
        <w:t>the approach</w:t>
      </w:r>
      <w:r w:rsidR="00B54AA1">
        <w:rPr>
          <w:sz w:val="24"/>
          <w:szCs w:val="24"/>
        </w:rPr>
        <w:t xml:space="preserve"> for: 1</w:t>
      </w:r>
      <w:proofErr w:type="gramStart"/>
      <w:r w:rsidR="00B54AA1">
        <w:rPr>
          <w:sz w:val="24"/>
          <w:szCs w:val="24"/>
        </w:rPr>
        <w:t>)</w:t>
      </w:r>
      <w:r>
        <w:rPr>
          <w:sz w:val="24"/>
          <w:szCs w:val="24"/>
        </w:rPr>
        <w:t xml:space="preserve"> in</w:t>
      </w:r>
      <w:proofErr w:type="gramEnd"/>
      <w:r>
        <w:rPr>
          <w:sz w:val="24"/>
          <w:szCs w:val="24"/>
        </w:rPr>
        <w:t xml:space="preserve"> improving family reunification rates</w:t>
      </w:r>
      <w:r w:rsidR="00617C22">
        <w:rPr>
          <w:sz w:val="24"/>
          <w:szCs w:val="24"/>
        </w:rPr>
        <w:t xml:space="preserve"> and thereby reducing the rate of termination of parental rights</w:t>
      </w:r>
      <w:r>
        <w:rPr>
          <w:sz w:val="24"/>
          <w:szCs w:val="24"/>
        </w:rPr>
        <w:t xml:space="preserve">, </w:t>
      </w:r>
      <w:r w:rsidR="00617C22">
        <w:rPr>
          <w:sz w:val="24"/>
          <w:szCs w:val="24"/>
        </w:rPr>
        <w:t xml:space="preserve">2) </w:t>
      </w:r>
      <w:r>
        <w:rPr>
          <w:sz w:val="24"/>
          <w:szCs w:val="24"/>
        </w:rPr>
        <w:t>promoting trauma-informed practices</w:t>
      </w:r>
      <w:r w:rsidR="00617C22">
        <w:rPr>
          <w:sz w:val="24"/>
          <w:szCs w:val="24"/>
        </w:rPr>
        <w:t>,</w:t>
      </w:r>
      <w:r>
        <w:rPr>
          <w:sz w:val="24"/>
          <w:szCs w:val="24"/>
        </w:rPr>
        <w:t xml:space="preserve"> and </w:t>
      </w:r>
      <w:r w:rsidR="00B54AA1">
        <w:rPr>
          <w:sz w:val="24"/>
          <w:szCs w:val="24"/>
        </w:rPr>
        <w:t xml:space="preserve">3) increasing </w:t>
      </w:r>
      <w:r>
        <w:rPr>
          <w:sz w:val="24"/>
          <w:szCs w:val="24"/>
        </w:rPr>
        <w:t>access to services for</w:t>
      </w:r>
      <w:r w:rsidR="00B54AA1">
        <w:rPr>
          <w:sz w:val="24"/>
          <w:szCs w:val="24"/>
        </w:rPr>
        <w:t xml:space="preserve"> families and children to meet their needs. </w:t>
      </w:r>
      <w:r w:rsidR="00E72A8A">
        <w:rPr>
          <w:sz w:val="24"/>
          <w:szCs w:val="24"/>
        </w:rPr>
        <w:t xml:space="preserve">In addition, the evaluation examines reasons for removal </w:t>
      </w:r>
      <w:proofErr w:type="gramStart"/>
      <w:r w:rsidR="00E72A8A">
        <w:rPr>
          <w:sz w:val="24"/>
          <w:szCs w:val="24"/>
        </w:rPr>
        <w:t>for</w:t>
      </w:r>
      <w:proofErr w:type="gramEnd"/>
      <w:r w:rsidR="00E72A8A">
        <w:rPr>
          <w:sz w:val="24"/>
          <w:szCs w:val="24"/>
        </w:rPr>
        <w:t xml:space="preserve"> closed cases during the evaluation period, </w:t>
      </w:r>
      <w:r w:rsidR="00E0763C">
        <w:rPr>
          <w:sz w:val="24"/>
          <w:szCs w:val="24"/>
        </w:rPr>
        <w:t>use</w:t>
      </w:r>
      <w:r w:rsidR="00E72A8A">
        <w:rPr>
          <w:sz w:val="24"/>
          <w:szCs w:val="24"/>
        </w:rPr>
        <w:t xml:space="preserve"> of trauma-informed and evidence-based practices</w:t>
      </w:r>
      <w:r w:rsidR="00E0763C">
        <w:rPr>
          <w:sz w:val="24"/>
          <w:szCs w:val="24"/>
        </w:rPr>
        <w:t xml:space="preserve">, </w:t>
      </w:r>
      <w:r w:rsidR="00E72A8A">
        <w:rPr>
          <w:sz w:val="24"/>
          <w:szCs w:val="24"/>
        </w:rPr>
        <w:t>representation and recruitment pathways</w:t>
      </w:r>
      <w:r w:rsidR="00E0763C">
        <w:rPr>
          <w:sz w:val="24"/>
          <w:szCs w:val="24"/>
        </w:rPr>
        <w:t xml:space="preserve"> in the ITCP workforce, variation in </w:t>
      </w:r>
      <w:r w:rsidR="00E72A8A">
        <w:rPr>
          <w:sz w:val="24"/>
          <w:szCs w:val="24"/>
        </w:rPr>
        <w:t>family participation</w:t>
      </w:r>
      <w:r w:rsidR="00E0763C">
        <w:rPr>
          <w:sz w:val="24"/>
          <w:szCs w:val="24"/>
        </w:rPr>
        <w:t>, and b</w:t>
      </w:r>
      <w:r w:rsidR="00E72A8A">
        <w:rPr>
          <w:sz w:val="24"/>
          <w:szCs w:val="24"/>
        </w:rPr>
        <w:t>arriers to implementation including workforce capacity and resource sufficiency</w:t>
      </w:r>
      <w:r w:rsidR="00E0763C">
        <w:rPr>
          <w:sz w:val="24"/>
          <w:szCs w:val="24"/>
        </w:rPr>
        <w:t xml:space="preserve">. </w:t>
      </w:r>
    </w:p>
    <w:p w14:paraId="63E72E14" w14:textId="6A080BEC" w:rsidR="00E26E4E" w:rsidRPr="00E26E4E" w:rsidRDefault="001438C7" w:rsidP="00E26E4E">
      <w:pPr>
        <w:jc w:val="left"/>
        <w:rPr>
          <w:sz w:val="24"/>
          <w:szCs w:val="24"/>
        </w:rPr>
      </w:pPr>
      <w:r>
        <w:rPr>
          <w:sz w:val="24"/>
          <w:szCs w:val="24"/>
        </w:rPr>
        <w:t xml:space="preserve">To </w:t>
      </w:r>
      <w:r w:rsidR="00B54AA1">
        <w:rPr>
          <w:sz w:val="24"/>
          <w:szCs w:val="24"/>
        </w:rPr>
        <w:t>evaluate</w:t>
      </w:r>
      <w:r>
        <w:rPr>
          <w:sz w:val="24"/>
          <w:szCs w:val="24"/>
        </w:rPr>
        <w:t xml:space="preserve"> </w:t>
      </w:r>
      <w:r w:rsidR="00B54AA1">
        <w:rPr>
          <w:sz w:val="24"/>
          <w:szCs w:val="24"/>
        </w:rPr>
        <w:t>effectiveness</w:t>
      </w:r>
      <w:r w:rsidR="00B425B8">
        <w:rPr>
          <w:sz w:val="24"/>
          <w:szCs w:val="24"/>
        </w:rPr>
        <w:t xml:space="preserve"> at the case level</w:t>
      </w:r>
      <w:r>
        <w:rPr>
          <w:sz w:val="24"/>
          <w:szCs w:val="24"/>
        </w:rPr>
        <w:t xml:space="preserve">, </w:t>
      </w:r>
      <w:r w:rsidR="00B54AA1">
        <w:rPr>
          <w:sz w:val="24"/>
          <w:szCs w:val="24"/>
        </w:rPr>
        <w:t xml:space="preserve">demographic </w:t>
      </w:r>
      <w:r>
        <w:rPr>
          <w:sz w:val="24"/>
          <w:szCs w:val="24"/>
        </w:rPr>
        <w:t>data</w:t>
      </w:r>
      <w:r w:rsidR="00B54AA1">
        <w:rPr>
          <w:sz w:val="24"/>
          <w:szCs w:val="24"/>
        </w:rPr>
        <w:t xml:space="preserve">, services provided, and </w:t>
      </w:r>
      <w:r>
        <w:rPr>
          <w:sz w:val="24"/>
          <w:szCs w:val="24"/>
        </w:rPr>
        <w:t xml:space="preserve">permanency </w:t>
      </w:r>
      <w:r w:rsidR="00B54AA1">
        <w:rPr>
          <w:sz w:val="24"/>
          <w:szCs w:val="24"/>
        </w:rPr>
        <w:t>indicators</w:t>
      </w:r>
      <w:r>
        <w:rPr>
          <w:sz w:val="24"/>
          <w:szCs w:val="24"/>
        </w:rPr>
        <w:t xml:space="preserve"> are recorded </w:t>
      </w:r>
      <w:r w:rsidR="00240D94">
        <w:rPr>
          <w:sz w:val="24"/>
          <w:szCs w:val="24"/>
        </w:rPr>
        <w:t>in an electronic data system for ongoing evaluation</w:t>
      </w:r>
      <w:r w:rsidR="00045ED2">
        <w:rPr>
          <w:sz w:val="24"/>
          <w:szCs w:val="24"/>
        </w:rPr>
        <w:t xml:space="preserve">. </w:t>
      </w:r>
      <w:r w:rsidR="00B54AA1">
        <w:rPr>
          <w:sz w:val="24"/>
          <w:szCs w:val="24"/>
        </w:rPr>
        <w:t xml:space="preserve">In addition, </w:t>
      </w:r>
      <w:r>
        <w:rPr>
          <w:sz w:val="24"/>
          <w:szCs w:val="24"/>
        </w:rPr>
        <w:t xml:space="preserve">data </w:t>
      </w:r>
      <w:r w:rsidR="00045ED2">
        <w:rPr>
          <w:sz w:val="24"/>
          <w:szCs w:val="24"/>
        </w:rPr>
        <w:t xml:space="preserve">are </w:t>
      </w:r>
      <w:r>
        <w:rPr>
          <w:sz w:val="24"/>
          <w:szCs w:val="24"/>
        </w:rPr>
        <w:t xml:space="preserve">collected </w:t>
      </w:r>
      <w:r w:rsidR="00045ED2">
        <w:rPr>
          <w:sz w:val="24"/>
          <w:szCs w:val="24"/>
        </w:rPr>
        <w:t>from the community</w:t>
      </w:r>
      <w:r>
        <w:rPr>
          <w:sz w:val="24"/>
          <w:szCs w:val="24"/>
        </w:rPr>
        <w:t xml:space="preserve"> ITCP professionals </w:t>
      </w:r>
      <w:r w:rsidR="00B54AA1">
        <w:rPr>
          <w:sz w:val="24"/>
          <w:szCs w:val="24"/>
        </w:rPr>
        <w:t>using</w:t>
      </w:r>
      <w:r>
        <w:rPr>
          <w:sz w:val="24"/>
          <w:szCs w:val="24"/>
        </w:rPr>
        <w:t xml:space="preserve"> two data collection strategie</w:t>
      </w:r>
      <w:r w:rsidR="00045ED2">
        <w:rPr>
          <w:sz w:val="24"/>
          <w:szCs w:val="24"/>
        </w:rPr>
        <w:t xml:space="preserve">s; results of that effort </w:t>
      </w:r>
      <w:proofErr w:type="gramStart"/>
      <w:r w:rsidR="00045ED2">
        <w:rPr>
          <w:sz w:val="24"/>
          <w:szCs w:val="24"/>
        </w:rPr>
        <w:t>is</w:t>
      </w:r>
      <w:proofErr w:type="gramEnd"/>
      <w:r w:rsidR="00045ED2">
        <w:rPr>
          <w:sz w:val="24"/>
          <w:szCs w:val="24"/>
        </w:rPr>
        <w:t xml:space="preserve"> the focus of this report. </w:t>
      </w:r>
      <w:r w:rsidR="00CB4531">
        <w:rPr>
          <w:sz w:val="24"/>
          <w:szCs w:val="24"/>
        </w:rPr>
        <w:t>Findings from this mixed-methods analysis are intended to inform continuous quality improvement efforts, support state-level planning and decision-making, and contribute to broader efforts to strengthen infant-toddler court programming and improve public child welfare outcomes.</w:t>
      </w:r>
    </w:p>
    <w:p w14:paraId="50AB715D" w14:textId="77777777" w:rsidR="00A30B95" w:rsidRDefault="00E26E4E" w:rsidP="00E26E4E">
      <w:pPr>
        <w:pStyle w:val="ListParagraph"/>
        <w:numPr>
          <w:ilvl w:val="0"/>
          <w:numId w:val="42"/>
        </w:numPr>
        <w:jc w:val="left"/>
        <w:rPr>
          <w:sz w:val="24"/>
          <w:szCs w:val="24"/>
        </w:rPr>
      </w:pPr>
      <w:r>
        <w:rPr>
          <w:b/>
          <w:bCs/>
          <w:sz w:val="24"/>
          <w:szCs w:val="24"/>
        </w:rPr>
        <w:t xml:space="preserve">State Leadership </w:t>
      </w:r>
      <w:r w:rsidR="00B54AA1">
        <w:rPr>
          <w:b/>
          <w:bCs/>
          <w:sz w:val="24"/>
          <w:szCs w:val="24"/>
        </w:rPr>
        <w:t xml:space="preserve">and Advisory Team </w:t>
      </w:r>
      <w:r>
        <w:rPr>
          <w:b/>
          <w:bCs/>
          <w:sz w:val="24"/>
          <w:szCs w:val="24"/>
        </w:rPr>
        <w:t>Feedback Session</w:t>
      </w:r>
      <w:r w:rsidR="00B54AA1">
        <w:rPr>
          <w:b/>
          <w:bCs/>
          <w:sz w:val="24"/>
          <w:szCs w:val="24"/>
        </w:rPr>
        <w:t>s</w:t>
      </w:r>
      <w:r>
        <w:rPr>
          <w:b/>
          <w:bCs/>
          <w:sz w:val="24"/>
          <w:szCs w:val="24"/>
        </w:rPr>
        <w:t xml:space="preserve"> and Survey</w:t>
      </w:r>
      <w:r>
        <w:rPr>
          <w:sz w:val="24"/>
          <w:szCs w:val="24"/>
        </w:rPr>
        <w:t xml:space="preserve"> </w:t>
      </w:r>
    </w:p>
    <w:p w14:paraId="6AAFB9E6" w14:textId="5CE0B2DB" w:rsidR="00E72A8A" w:rsidRPr="00CD2311" w:rsidRDefault="00B54AA1" w:rsidP="00CD2311">
      <w:pPr>
        <w:pStyle w:val="ListParagraph"/>
        <w:jc w:val="left"/>
        <w:rPr>
          <w:sz w:val="24"/>
          <w:szCs w:val="24"/>
        </w:rPr>
      </w:pPr>
      <w:r>
        <w:rPr>
          <w:sz w:val="24"/>
          <w:szCs w:val="24"/>
        </w:rPr>
        <w:lastRenderedPageBreak/>
        <w:t>D</w:t>
      </w:r>
      <w:r w:rsidR="00E26E4E">
        <w:rPr>
          <w:sz w:val="24"/>
          <w:szCs w:val="24"/>
        </w:rPr>
        <w:t xml:space="preserve">ata </w:t>
      </w:r>
      <w:proofErr w:type="gramStart"/>
      <w:r w:rsidR="00E26E4E">
        <w:rPr>
          <w:sz w:val="24"/>
          <w:szCs w:val="24"/>
        </w:rPr>
        <w:t>were</w:t>
      </w:r>
      <w:proofErr w:type="gramEnd"/>
      <w:r w:rsidR="00E26E4E">
        <w:rPr>
          <w:sz w:val="24"/>
          <w:szCs w:val="24"/>
        </w:rPr>
        <w:t xml:space="preserve"> collected through an embedded in-meeting evaluation process during the State Advisory Leadership Team (SALT) meeting</w:t>
      </w:r>
      <w:r w:rsidR="00A30B95">
        <w:rPr>
          <w:sz w:val="24"/>
          <w:szCs w:val="24"/>
        </w:rPr>
        <w:t xml:space="preserve"> on October 22, 2025.</w:t>
      </w:r>
      <w:r w:rsidR="00E26E4E">
        <w:rPr>
          <w:sz w:val="24"/>
          <w:szCs w:val="24"/>
        </w:rPr>
        <w:t xml:space="preserve"> Participants completed a brief six-item Likert survey (n = 13) followed by structured small-group breakout discussions </w:t>
      </w:r>
      <w:r w:rsidR="00A30B95">
        <w:rPr>
          <w:sz w:val="24"/>
          <w:szCs w:val="24"/>
        </w:rPr>
        <w:t>corresponding</w:t>
      </w:r>
      <w:r w:rsidR="00E26E4E">
        <w:rPr>
          <w:sz w:val="24"/>
          <w:szCs w:val="24"/>
        </w:rPr>
        <w:t xml:space="preserve"> with key research questions related to workforce, outreach and family participation. This interactive format was implemented to </w:t>
      </w:r>
      <w:r>
        <w:rPr>
          <w:sz w:val="24"/>
          <w:szCs w:val="24"/>
        </w:rPr>
        <w:t xml:space="preserve">engage </w:t>
      </w:r>
      <w:r w:rsidR="00E26E4E">
        <w:rPr>
          <w:sz w:val="24"/>
          <w:szCs w:val="24"/>
        </w:rPr>
        <w:t>participation</w:t>
      </w:r>
      <w:r w:rsidR="00E72A8A">
        <w:rPr>
          <w:sz w:val="24"/>
          <w:szCs w:val="24"/>
        </w:rPr>
        <w:t xml:space="preserve"> and</w:t>
      </w:r>
      <w:r w:rsidR="00A30B95">
        <w:rPr>
          <w:sz w:val="24"/>
          <w:szCs w:val="24"/>
        </w:rPr>
        <w:t xml:space="preserve"> </w:t>
      </w:r>
      <w:r w:rsidR="00E26E4E">
        <w:rPr>
          <w:sz w:val="24"/>
          <w:szCs w:val="24"/>
        </w:rPr>
        <w:t>generate richer qualitative</w:t>
      </w:r>
      <w:r w:rsidR="00A30B95">
        <w:rPr>
          <w:sz w:val="24"/>
          <w:szCs w:val="24"/>
        </w:rPr>
        <w:t xml:space="preserve"> information</w:t>
      </w:r>
      <w:r w:rsidR="00E26E4E">
        <w:rPr>
          <w:sz w:val="24"/>
          <w:szCs w:val="24"/>
        </w:rPr>
        <w:t xml:space="preserve"> </w:t>
      </w:r>
      <w:r w:rsidR="00E72A8A">
        <w:rPr>
          <w:sz w:val="24"/>
          <w:szCs w:val="24"/>
        </w:rPr>
        <w:t xml:space="preserve">leading </w:t>
      </w:r>
      <w:r w:rsidR="00071CF6">
        <w:rPr>
          <w:sz w:val="24"/>
          <w:szCs w:val="24"/>
        </w:rPr>
        <w:t>to enhanced</w:t>
      </w:r>
      <w:r w:rsidR="00E72A8A">
        <w:rPr>
          <w:sz w:val="24"/>
          <w:szCs w:val="24"/>
        </w:rPr>
        <w:t xml:space="preserve"> understanding and </w:t>
      </w:r>
      <w:r w:rsidR="00E26E4E">
        <w:rPr>
          <w:sz w:val="24"/>
          <w:szCs w:val="24"/>
        </w:rPr>
        <w:t>insight</w:t>
      </w:r>
      <w:r w:rsidR="00A30B95">
        <w:rPr>
          <w:sz w:val="24"/>
          <w:szCs w:val="24"/>
        </w:rPr>
        <w:t xml:space="preserve"> from the mixed methods approach.  </w:t>
      </w:r>
    </w:p>
    <w:p w14:paraId="09E50B17" w14:textId="77777777" w:rsidR="00E72A8A" w:rsidRPr="00E26E4E" w:rsidRDefault="00E72A8A" w:rsidP="00A30B95">
      <w:pPr>
        <w:pStyle w:val="ListParagraph"/>
        <w:jc w:val="left"/>
        <w:rPr>
          <w:sz w:val="24"/>
          <w:szCs w:val="24"/>
        </w:rPr>
      </w:pPr>
    </w:p>
    <w:p w14:paraId="0FFBED90" w14:textId="77777777" w:rsidR="00E72A8A" w:rsidRDefault="00E26E4E" w:rsidP="00E26E4E">
      <w:pPr>
        <w:pStyle w:val="ListParagraph"/>
        <w:numPr>
          <w:ilvl w:val="0"/>
          <w:numId w:val="42"/>
        </w:numPr>
        <w:jc w:val="left"/>
        <w:rPr>
          <w:sz w:val="24"/>
          <w:szCs w:val="24"/>
        </w:rPr>
      </w:pPr>
      <w:r>
        <w:rPr>
          <w:b/>
          <w:bCs/>
          <w:sz w:val="24"/>
          <w:szCs w:val="24"/>
        </w:rPr>
        <w:t>Trauma-Informed Practices Survey</w:t>
      </w:r>
      <w:r>
        <w:rPr>
          <w:sz w:val="24"/>
          <w:szCs w:val="24"/>
        </w:rPr>
        <w:t xml:space="preserve"> </w:t>
      </w:r>
    </w:p>
    <w:p w14:paraId="5816B024" w14:textId="18183802" w:rsidR="00E26E4E" w:rsidRPr="00E26E4E" w:rsidRDefault="00E72A8A" w:rsidP="00E72A8A">
      <w:pPr>
        <w:pStyle w:val="ListParagraph"/>
        <w:jc w:val="left"/>
        <w:rPr>
          <w:sz w:val="24"/>
          <w:szCs w:val="24"/>
        </w:rPr>
      </w:pPr>
      <w:r>
        <w:rPr>
          <w:sz w:val="24"/>
          <w:szCs w:val="24"/>
        </w:rPr>
        <w:t xml:space="preserve">An </w:t>
      </w:r>
      <w:r w:rsidR="00E26E4E">
        <w:rPr>
          <w:sz w:val="24"/>
          <w:szCs w:val="24"/>
        </w:rPr>
        <w:t>electronic</w:t>
      </w:r>
      <w:r>
        <w:rPr>
          <w:sz w:val="24"/>
          <w:szCs w:val="24"/>
        </w:rPr>
        <w:t xml:space="preserve"> survey was administered</w:t>
      </w:r>
      <w:r w:rsidR="00E26E4E">
        <w:rPr>
          <w:sz w:val="24"/>
          <w:szCs w:val="24"/>
        </w:rPr>
        <w:t xml:space="preserve"> </w:t>
      </w:r>
      <w:r>
        <w:rPr>
          <w:sz w:val="24"/>
          <w:szCs w:val="24"/>
        </w:rPr>
        <w:t xml:space="preserve">to ITCP stakeholders in all participating </w:t>
      </w:r>
      <w:r w:rsidR="00CB4531">
        <w:rPr>
          <w:sz w:val="24"/>
          <w:szCs w:val="24"/>
        </w:rPr>
        <w:t xml:space="preserve">collaborative </w:t>
      </w:r>
      <w:r>
        <w:rPr>
          <w:sz w:val="24"/>
          <w:szCs w:val="24"/>
        </w:rPr>
        <w:t xml:space="preserve">agencies in Polk County, Iowa, during a two-week period in October 2025 (October 11 to October 29, 2025). </w:t>
      </w:r>
      <w:r w:rsidR="00594DA3">
        <w:rPr>
          <w:sz w:val="24"/>
          <w:szCs w:val="24"/>
        </w:rPr>
        <w:t xml:space="preserve">Eighteen (18) </w:t>
      </w:r>
      <w:r w:rsidR="00E26E4E">
        <w:rPr>
          <w:sz w:val="24"/>
          <w:szCs w:val="24"/>
        </w:rPr>
        <w:t>complet</w:t>
      </w:r>
      <w:r>
        <w:rPr>
          <w:sz w:val="24"/>
          <w:szCs w:val="24"/>
        </w:rPr>
        <w:t>ed</w:t>
      </w:r>
      <w:r w:rsidR="00E26E4E">
        <w:rPr>
          <w:sz w:val="24"/>
          <w:szCs w:val="24"/>
        </w:rPr>
        <w:t xml:space="preserve"> the Likert-scale section assessing trauma-responsive practices, evidence-based practice implementation, training, organizational support, and resource sufficiency. Open-ended responses were </w:t>
      </w:r>
      <w:r>
        <w:rPr>
          <w:sz w:val="24"/>
          <w:szCs w:val="24"/>
        </w:rPr>
        <w:t>gathered</w:t>
      </w:r>
      <w:r w:rsidR="00E26E4E">
        <w:rPr>
          <w:sz w:val="24"/>
          <w:szCs w:val="24"/>
        </w:rPr>
        <w:t xml:space="preserve"> to </w:t>
      </w:r>
      <w:r>
        <w:rPr>
          <w:sz w:val="24"/>
          <w:szCs w:val="24"/>
        </w:rPr>
        <w:t xml:space="preserve">gain a more complete </w:t>
      </w:r>
      <w:r w:rsidR="00E26E4E">
        <w:rPr>
          <w:sz w:val="24"/>
          <w:szCs w:val="24"/>
        </w:rPr>
        <w:t>understand</w:t>
      </w:r>
      <w:r>
        <w:rPr>
          <w:sz w:val="24"/>
          <w:szCs w:val="24"/>
        </w:rPr>
        <w:t>ing of</w:t>
      </w:r>
      <w:r w:rsidR="00E26E4E">
        <w:rPr>
          <w:sz w:val="24"/>
          <w:szCs w:val="24"/>
        </w:rPr>
        <w:t xml:space="preserve"> barriers and professional development needs.</w:t>
      </w:r>
    </w:p>
    <w:p w14:paraId="746480FF" w14:textId="7B8FCDBE" w:rsidR="001438C7" w:rsidRPr="006304F0" w:rsidRDefault="001438C7" w:rsidP="0030737F">
      <w:pPr>
        <w:jc w:val="left"/>
        <w:rPr>
          <w:b/>
          <w:bCs/>
          <w:i/>
          <w:iCs/>
          <w:sz w:val="24"/>
          <w:szCs w:val="24"/>
        </w:rPr>
      </w:pPr>
      <w:r w:rsidRPr="006304F0">
        <w:rPr>
          <w:b/>
          <w:bCs/>
          <w:i/>
          <w:iCs/>
          <w:sz w:val="24"/>
          <w:szCs w:val="24"/>
        </w:rPr>
        <w:t>Data Sources, Measures</w:t>
      </w:r>
      <w:r w:rsidR="00181227" w:rsidRPr="00181227">
        <w:rPr>
          <w:b/>
          <w:bCs/>
          <w:i/>
          <w:iCs/>
          <w:sz w:val="24"/>
          <w:szCs w:val="24"/>
        </w:rPr>
        <w:t xml:space="preserve"> </w:t>
      </w:r>
      <w:r w:rsidR="00181227">
        <w:rPr>
          <w:b/>
          <w:bCs/>
          <w:i/>
          <w:iCs/>
          <w:sz w:val="24"/>
          <w:szCs w:val="24"/>
        </w:rPr>
        <w:t xml:space="preserve">and </w:t>
      </w:r>
      <w:r w:rsidR="00181227" w:rsidRPr="006304F0">
        <w:rPr>
          <w:b/>
          <w:bCs/>
          <w:i/>
          <w:iCs/>
          <w:sz w:val="24"/>
          <w:szCs w:val="24"/>
        </w:rPr>
        <w:t>Analysis</w:t>
      </w:r>
      <w:r w:rsidR="00224A4D">
        <w:rPr>
          <w:b/>
          <w:bCs/>
          <w:i/>
          <w:iCs/>
          <w:sz w:val="24"/>
          <w:szCs w:val="24"/>
        </w:rPr>
        <w:t xml:space="preserve"> Plan</w:t>
      </w:r>
    </w:p>
    <w:p w14:paraId="4EB5AB39" w14:textId="35FAD212" w:rsidR="001438C7" w:rsidRPr="001438C7" w:rsidRDefault="001438C7" w:rsidP="0030737F">
      <w:pPr>
        <w:jc w:val="left"/>
        <w:rPr>
          <w:sz w:val="24"/>
          <w:szCs w:val="24"/>
        </w:rPr>
      </w:pPr>
      <w:r>
        <w:rPr>
          <w:sz w:val="24"/>
          <w:szCs w:val="24"/>
        </w:rPr>
        <w:t xml:space="preserve">This </w:t>
      </w:r>
      <w:r w:rsidR="00CB4531">
        <w:rPr>
          <w:sz w:val="24"/>
          <w:szCs w:val="24"/>
        </w:rPr>
        <w:t xml:space="preserve">part of the program </w:t>
      </w:r>
      <w:r>
        <w:rPr>
          <w:sz w:val="24"/>
          <w:szCs w:val="24"/>
        </w:rPr>
        <w:t xml:space="preserve">evaluation employs a mixed-methods approach, combining quantitative data from surveys and case-level </w:t>
      </w:r>
      <w:r w:rsidR="00542B02">
        <w:rPr>
          <w:sz w:val="24"/>
          <w:szCs w:val="24"/>
        </w:rPr>
        <w:t>information gathered through an electronic data system</w:t>
      </w:r>
      <w:r>
        <w:rPr>
          <w:sz w:val="24"/>
          <w:szCs w:val="24"/>
        </w:rPr>
        <w:t xml:space="preserve"> with</w:t>
      </w:r>
      <w:r w:rsidR="00C25BF0">
        <w:rPr>
          <w:sz w:val="24"/>
          <w:szCs w:val="24"/>
        </w:rPr>
        <w:t xml:space="preserve"> additional</w:t>
      </w:r>
      <w:r>
        <w:rPr>
          <w:sz w:val="24"/>
          <w:szCs w:val="24"/>
        </w:rPr>
        <w:t xml:space="preserve"> insights</w:t>
      </w:r>
      <w:r w:rsidR="00C25BF0">
        <w:rPr>
          <w:sz w:val="24"/>
          <w:szCs w:val="24"/>
        </w:rPr>
        <w:t xml:space="preserve"> gained through</w:t>
      </w:r>
      <w:r>
        <w:rPr>
          <w:sz w:val="24"/>
          <w:szCs w:val="24"/>
        </w:rPr>
        <w:t xml:space="preserve"> </w:t>
      </w:r>
      <w:r w:rsidR="00542B02">
        <w:rPr>
          <w:sz w:val="24"/>
          <w:szCs w:val="24"/>
        </w:rPr>
        <w:t>obtain</w:t>
      </w:r>
      <w:r w:rsidR="00C25BF0">
        <w:rPr>
          <w:sz w:val="24"/>
          <w:szCs w:val="24"/>
        </w:rPr>
        <w:t xml:space="preserve">ing qualitative </w:t>
      </w:r>
      <w:r w:rsidR="00CD7314">
        <w:rPr>
          <w:sz w:val="24"/>
          <w:szCs w:val="24"/>
        </w:rPr>
        <w:t xml:space="preserve">and quantitative </w:t>
      </w:r>
      <w:r w:rsidR="00C25BF0">
        <w:rPr>
          <w:sz w:val="24"/>
          <w:szCs w:val="24"/>
        </w:rPr>
        <w:t xml:space="preserve">information </w:t>
      </w:r>
      <w:r>
        <w:rPr>
          <w:sz w:val="24"/>
          <w:szCs w:val="24"/>
        </w:rPr>
        <w:t xml:space="preserve">from </w:t>
      </w:r>
      <w:r w:rsidR="00C25BF0">
        <w:rPr>
          <w:sz w:val="24"/>
          <w:szCs w:val="24"/>
        </w:rPr>
        <w:t xml:space="preserve">community </w:t>
      </w:r>
      <w:r>
        <w:rPr>
          <w:sz w:val="24"/>
          <w:szCs w:val="24"/>
        </w:rPr>
        <w:t>stakeholder</w:t>
      </w:r>
      <w:r w:rsidR="00C25BF0">
        <w:rPr>
          <w:sz w:val="24"/>
          <w:szCs w:val="24"/>
        </w:rPr>
        <w:t>s</w:t>
      </w:r>
      <w:r>
        <w:rPr>
          <w:sz w:val="24"/>
          <w:szCs w:val="24"/>
        </w:rPr>
        <w:t xml:space="preserve">. </w:t>
      </w:r>
      <w:r w:rsidR="00542B02">
        <w:rPr>
          <w:sz w:val="24"/>
          <w:szCs w:val="24"/>
        </w:rPr>
        <w:t>K</w:t>
      </w:r>
      <w:r>
        <w:rPr>
          <w:sz w:val="24"/>
          <w:szCs w:val="24"/>
        </w:rPr>
        <w:t>ey questions guiding th</w:t>
      </w:r>
      <w:r w:rsidR="00542B02">
        <w:rPr>
          <w:sz w:val="24"/>
          <w:szCs w:val="24"/>
        </w:rPr>
        <w:t>e</w:t>
      </w:r>
      <w:r>
        <w:rPr>
          <w:sz w:val="24"/>
          <w:szCs w:val="24"/>
        </w:rPr>
        <w:t xml:space="preserve"> analysis include:</w:t>
      </w:r>
    </w:p>
    <w:p w14:paraId="2A769BD3" w14:textId="77777777" w:rsidR="001438C7" w:rsidRPr="001438C7" w:rsidRDefault="001438C7" w:rsidP="0030737F">
      <w:pPr>
        <w:numPr>
          <w:ilvl w:val="0"/>
          <w:numId w:val="37"/>
        </w:numPr>
        <w:jc w:val="left"/>
        <w:rPr>
          <w:sz w:val="24"/>
          <w:szCs w:val="24"/>
        </w:rPr>
      </w:pPr>
      <w:r>
        <w:rPr>
          <w:b/>
          <w:bCs/>
          <w:sz w:val="24"/>
          <w:szCs w:val="24"/>
        </w:rPr>
        <w:t>Trauma-Informed Practices &amp; Implementation</w:t>
      </w:r>
    </w:p>
    <w:p w14:paraId="2344B9A2" w14:textId="77777777" w:rsidR="001438C7" w:rsidRPr="001438C7" w:rsidRDefault="001438C7" w:rsidP="0030737F">
      <w:pPr>
        <w:numPr>
          <w:ilvl w:val="1"/>
          <w:numId w:val="37"/>
        </w:numPr>
        <w:jc w:val="left"/>
        <w:rPr>
          <w:sz w:val="24"/>
          <w:szCs w:val="24"/>
        </w:rPr>
      </w:pPr>
      <w:r>
        <w:rPr>
          <w:sz w:val="24"/>
          <w:szCs w:val="24"/>
        </w:rPr>
        <w:t>To what degree are ITCP professionals utilizing evidence-based and/or trauma-informed practices in their work?</w:t>
      </w:r>
    </w:p>
    <w:p w14:paraId="1E92365F" w14:textId="77777777" w:rsidR="001438C7" w:rsidRPr="001438C7" w:rsidRDefault="001438C7" w:rsidP="0030737F">
      <w:pPr>
        <w:numPr>
          <w:ilvl w:val="1"/>
          <w:numId w:val="37"/>
        </w:numPr>
        <w:jc w:val="left"/>
        <w:rPr>
          <w:sz w:val="24"/>
          <w:szCs w:val="24"/>
        </w:rPr>
      </w:pPr>
      <w:r>
        <w:rPr>
          <w:sz w:val="24"/>
          <w:szCs w:val="24"/>
        </w:rPr>
        <w:t>What barriers and facilitators do professionals encounter when implementing these practices?</w:t>
      </w:r>
    </w:p>
    <w:p w14:paraId="6A3CAF07" w14:textId="789EDBD8" w:rsidR="001438C7" w:rsidRPr="001438C7" w:rsidRDefault="001438C7" w:rsidP="0030737F">
      <w:pPr>
        <w:numPr>
          <w:ilvl w:val="1"/>
          <w:numId w:val="37"/>
        </w:numPr>
        <w:jc w:val="left"/>
        <w:rPr>
          <w:sz w:val="24"/>
          <w:szCs w:val="24"/>
        </w:rPr>
      </w:pPr>
      <w:r>
        <w:rPr>
          <w:sz w:val="24"/>
          <w:szCs w:val="24"/>
        </w:rPr>
        <w:t>What specific areas should future trauma-informed training programs focus on to better meet the needs of ITCP professionals</w:t>
      </w:r>
      <w:r w:rsidR="007D246D">
        <w:rPr>
          <w:sz w:val="24"/>
          <w:szCs w:val="24"/>
        </w:rPr>
        <w:t xml:space="preserve"> in serving child welfare clients</w:t>
      </w:r>
      <w:r>
        <w:rPr>
          <w:sz w:val="24"/>
          <w:szCs w:val="24"/>
        </w:rPr>
        <w:t>?</w:t>
      </w:r>
    </w:p>
    <w:p w14:paraId="35139B8D" w14:textId="230961BE" w:rsidR="001438C7" w:rsidRPr="001438C7" w:rsidRDefault="001438C7" w:rsidP="0030737F">
      <w:pPr>
        <w:numPr>
          <w:ilvl w:val="0"/>
          <w:numId w:val="37"/>
        </w:numPr>
        <w:jc w:val="left"/>
        <w:rPr>
          <w:sz w:val="24"/>
          <w:szCs w:val="24"/>
        </w:rPr>
      </w:pPr>
      <w:r>
        <w:rPr>
          <w:b/>
          <w:bCs/>
          <w:sz w:val="24"/>
          <w:szCs w:val="24"/>
        </w:rPr>
        <w:t>Workforce Representation</w:t>
      </w:r>
    </w:p>
    <w:p w14:paraId="4C433B4D" w14:textId="6F769611" w:rsidR="001438C7" w:rsidRPr="001438C7" w:rsidRDefault="001438C7" w:rsidP="0030737F">
      <w:pPr>
        <w:numPr>
          <w:ilvl w:val="1"/>
          <w:numId w:val="37"/>
        </w:numPr>
        <w:jc w:val="left"/>
        <w:rPr>
          <w:sz w:val="24"/>
          <w:szCs w:val="24"/>
        </w:rPr>
      </w:pPr>
      <w:r>
        <w:rPr>
          <w:sz w:val="24"/>
          <w:szCs w:val="24"/>
        </w:rPr>
        <w:t xml:space="preserve">What factors influence the recruitment, selection, and advancement of individuals </w:t>
      </w:r>
      <w:r w:rsidRPr="002A3B21">
        <w:rPr>
          <w:sz w:val="24"/>
          <w:szCs w:val="24"/>
        </w:rPr>
        <w:t>within</w:t>
      </w:r>
      <w:r w:rsidR="002A3B21">
        <w:rPr>
          <w:sz w:val="24"/>
          <w:szCs w:val="24"/>
        </w:rPr>
        <w:t xml:space="preserve"> the</w:t>
      </w:r>
      <w:r w:rsidRPr="002A3B21">
        <w:rPr>
          <w:sz w:val="24"/>
          <w:szCs w:val="24"/>
        </w:rPr>
        <w:t xml:space="preserve"> ITCP?</w:t>
      </w:r>
    </w:p>
    <w:p w14:paraId="65D23D2F" w14:textId="62A23306" w:rsidR="00224D3E" w:rsidRPr="00E5286F" w:rsidRDefault="001438C7" w:rsidP="00E5286F">
      <w:pPr>
        <w:numPr>
          <w:ilvl w:val="1"/>
          <w:numId w:val="37"/>
        </w:numPr>
        <w:jc w:val="left"/>
        <w:rPr>
          <w:sz w:val="24"/>
          <w:szCs w:val="24"/>
        </w:rPr>
      </w:pPr>
      <w:r>
        <w:rPr>
          <w:sz w:val="24"/>
          <w:szCs w:val="24"/>
        </w:rPr>
        <w:t xml:space="preserve">What </w:t>
      </w:r>
      <w:r w:rsidR="00D76C3F">
        <w:rPr>
          <w:sz w:val="24"/>
          <w:szCs w:val="24"/>
        </w:rPr>
        <w:t xml:space="preserve">strengths, </w:t>
      </w:r>
      <w:r>
        <w:rPr>
          <w:sz w:val="24"/>
          <w:szCs w:val="24"/>
        </w:rPr>
        <w:t xml:space="preserve">challenges and opportunities exist for </w:t>
      </w:r>
      <w:r w:rsidR="0050082B">
        <w:rPr>
          <w:sz w:val="24"/>
          <w:szCs w:val="24"/>
        </w:rPr>
        <w:t xml:space="preserve">increasing representation among the </w:t>
      </w:r>
      <w:r>
        <w:rPr>
          <w:sz w:val="24"/>
          <w:szCs w:val="24"/>
        </w:rPr>
        <w:t>ITCP workforce and strengthening outreach?</w:t>
      </w:r>
    </w:p>
    <w:p w14:paraId="1A1806FA" w14:textId="7ACF56BE" w:rsidR="001438C7" w:rsidRPr="001438C7" w:rsidRDefault="001438C7" w:rsidP="0030737F">
      <w:pPr>
        <w:numPr>
          <w:ilvl w:val="0"/>
          <w:numId w:val="37"/>
        </w:numPr>
        <w:jc w:val="left"/>
        <w:rPr>
          <w:sz w:val="24"/>
          <w:szCs w:val="24"/>
        </w:rPr>
      </w:pPr>
      <w:r>
        <w:rPr>
          <w:b/>
          <w:bCs/>
          <w:sz w:val="24"/>
          <w:szCs w:val="24"/>
        </w:rPr>
        <w:t>Family Participation</w:t>
      </w:r>
    </w:p>
    <w:p w14:paraId="26D075F8" w14:textId="3EB5B22C" w:rsidR="001438C7" w:rsidRDefault="001438C7" w:rsidP="0030737F">
      <w:pPr>
        <w:numPr>
          <w:ilvl w:val="1"/>
          <w:numId w:val="37"/>
        </w:numPr>
        <w:jc w:val="left"/>
        <w:rPr>
          <w:sz w:val="24"/>
          <w:szCs w:val="24"/>
        </w:rPr>
      </w:pPr>
      <w:r>
        <w:rPr>
          <w:sz w:val="24"/>
          <w:szCs w:val="24"/>
        </w:rPr>
        <w:lastRenderedPageBreak/>
        <w:t xml:space="preserve">What factors </w:t>
      </w:r>
      <w:r w:rsidR="00224D3E">
        <w:rPr>
          <w:sz w:val="24"/>
          <w:szCs w:val="24"/>
        </w:rPr>
        <w:t>are</w:t>
      </w:r>
      <w:r>
        <w:rPr>
          <w:sz w:val="24"/>
          <w:szCs w:val="24"/>
        </w:rPr>
        <w:t xml:space="preserve"> consider</w:t>
      </w:r>
      <w:r w:rsidR="00224D3E">
        <w:rPr>
          <w:sz w:val="24"/>
          <w:szCs w:val="24"/>
        </w:rPr>
        <w:t>ed</w:t>
      </w:r>
      <w:r>
        <w:rPr>
          <w:sz w:val="24"/>
          <w:szCs w:val="24"/>
        </w:rPr>
        <w:t xml:space="preserve"> when determining </w:t>
      </w:r>
      <w:r w:rsidR="00224D3E">
        <w:rPr>
          <w:sz w:val="24"/>
          <w:szCs w:val="24"/>
        </w:rPr>
        <w:t>eligibility and</w:t>
      </w:r>
      <w:r>
        <w:rPr>
          <w:sz w:val="24"/>
          <w:szCs w:val="24"/>
        </w:rPr>
        <w:t xml:space="preserve"> participat</w:t>
      </w:r>
      <w:r w:rsidR="007979B2">
        <w:rPr>
          <w:sz w:val="24"/>
          <w:szCs w:val="24"/>
        </w:rPr>
        <w:t>ion of families</w:t>
      </w:r>
      <w:r>
        <w:rPr>
          <w:sz w:val="24"/>
          <w:szCs w:val="24"/>
        </w:rPr>
        <w:t xml:space="preserve"> in ITCP?</w:t>
      </w:r>
    </w:p>
    <w:p w14:paraId="47A1DDA2" w14:textId="0ACB56E8" w:rsidR="00994B06" w:rsidRDefault="007979B2" w:rsidP="0030737F">
      <w:pPr>
        <w:numPr>
          <w:ilvl w:val="1"/>
          <w:numId w:val="37"/>
        </w:numPr>
        <w:jc w:val="left"/>
        <w:rPr>
          <w:sz w:val="24"/>
          <w:szCs w:val="24"/>
        </w:rPr>
      </w:pPr>
      <w:r>
        <w:rPr>
          <w:sz w:val="24"/>
          <w:szCs w:val="24"/>
        </w:rPr>
        <w:t xml:space="preserve">To what extent is the </w:t>
      </w:r>
      <w:r w:rsidR="00F761AB">
        <w:rPr>
          <w:sz w:val="24"/>
          <w:szCs w:val="24"/>
        </w:rPr>
        <w:t xml:space="preserve">eligibility, referral and engagement process </w:t>
      </w:r>
      <w:r w:rsidR="00994B06">
        <w:rPr>
          <w:sz w:val="24"/>
          <w:szCs w:val="24"/>
        </w:rPr>
        <w:t>clear and consistent?</w:t>
      </w:r>
    </w:p>
    <w:p w14:paraId="481FD1B1" w14:textId="230ED793" w:rsidR="00F761AB" w:rsidRPr="001A5F3E" w:rsidRDefault="00F761AB" w:rsidP="0030737F">
      <w:pPr>
        <w:numPr>
          <w:ilvl w:val="1"/>
          <w:numId w:val="37"/>
        </w:numPr>
        <w:jc w:val="left"/>
        <w:rPr>
          <w:sz w:val="24"/>
          <w:szCs w:val="24"/>
        </w:rPr>
      </w:pPr>
      <w:r w:rsidRPr="001A5F3E">
        <w:rPr>
          <w:sz w:val="24"/>
          <w:szCs w:val="24"/>
        </w:rPr>
        <w:t>What family characteristics are associated with various levels of engagement and outcomes.</w:t>
      </w:r>
    </w:p>
    <w:p w14:paraId="4DEA6561" w14:textId="77777777" w:rsidR="001438C7" w:rsidRPr="006304F0" w:rsidRDefault="001438C7" w:rsidP="0030737F">
      <w:pPr>
        <w:jc w:val="left"/>
        <w:rPr>
          <w:b/>
          <w:bCs/>
          <w:i/>
          <w:iCs/>
          <w:sz w:val="24"/>
          <w:szCs w:val="24"/>
        </w:rPr>
      </w:pPr>
      <w:r w:rsidRPr="006304F0">
        <w:rPr>
          <w:b/>
          <w:bCs/>
          <w:i/>
          <w:iCs/>
          <w:sz w:val="24"/>
          <w:szCs w:val="24"/>
        </w:rPr>
        <w:t>Survey Measures</w:t>
      </w:r>
    </w:p>
    <w:p w14:paraId="2FAD84DD" w14:textId="77777777" w:rsidR="00994B06" w:rsidRPr="00994B06" w:rsidRDefault="00994B06" w:rsidP="00994B06">
      <w:pPr>
        <w:jc w:val="left"/>
        <w:rPr>
          <w:sz w:val="24"/>
          <w:szCs w:val="24"/>
        </w:rPr>
      </w:pPr>
      <w:r>
        <w:rPr>
          <w:sz w:val="24"/>
          <w:szCs w:val="24"/>
        </w:rPr>
        <w:t>The State Leadership and Trauma-Informed Practices data collection tools included Likert-scale items, yes/no questions, and open-ended responses designed to capture the perspectives of ITCP stakeholders and leadership.</w:t>
      </w:r>
    </w:p>
    <w:p w14:paraId="2ECED6FF" w14:textId="77777777" w:rsidR="00994B06" w:rsidRPr="00994B06" w:rsidRDefault="00994B06" w:rsidP="00994B06">
      <w:pPr>
        <w:jc w:val="left"/>
        <w:rPr>
          <w:sz w:val="24"/>
          <w:szCs w:val="24"/>
        </w:rPr>
      </w:pPr>
      <w:r>
        <w:rPr>
          <w:sz w:val="24"/>
          <w:szCs w:val="24"/>
        </w:rPr>
        <w:t>In 2025, leadership data collection was embedded into a structured State Advisory Leadership Team (SALT) meeting and included both a brief six-item Likert survey and facilitated small-group discussions aligned with evaluation research questions.</w:t>
      </w:r>
    </w:p>
    <w:p w14:paraId="501ABDC4" w14:textId="77777777" w:rsidR="00994B06" w:rsidRPr="00994B06" w:rsidRDefault="00994B06" w:rsidP="00994B06">
      <w:pPr>
        <w:jc w:val="left"/>
        <w:rPr>
          <w:sz w:val="24"/>
          <w:szCs w:val="24"/>
        </w:rPr>
      </w:pPr>
      <w:r>
        <w:rPr>
          <w:sz w:val="24"/>
          <w:szCs w:val="24"/>
        </w:rPr>
        <w:t>Survey and focus group measures focused on:</w:t>
      </w:r>
    </w:p>
    <w:p w14:paraId="265AE1F8" w14:textId="77777777" w:rsidR="00994B06" w:rsidRDefault="00994B06" w:rsidP="00994B06">
      <w:pPr>
        <w:pStyle w:val="ListParagraph"/>
        <w:numPr>
          <w:ilvl w:val="0"/>
          <w:numId w:val="45"/>
        </w:numPr>
        <w:jc w:val="left"/>
        <w:rPr>
          <w:sz w:val="24"/>
          <w:szCs w:val="24"/>
        </w:rPr>
      </w:pPr>
      <w:r>
        <w:rPr>
          <w:sz w:val="24"/>
          <w:szCs w:val="24"/>
        </w:rPr>
        <w:t>The frequency, confidence, and organizational support related to trauma-informed and evidence-based practices</w:t>
      </w:r>
    </w:p>
    <w:p w14:paraId="5826E56A" w14:textId="77777777" w:rsidR="00994B06" w:rsidRDefault="00994B06" w:rsidP="00994B06">
      <w:pPr>
        <w:pStyle w:val="ListParagraph"/>
        <w:numPr>
          <w:ilvl w:val="0"/>
          <w:numId w:val="45"/>
        </w:numPr>
        <w:jc w:val="left"/>
        <w:rPr>
          <w:sz w:val="24"/>
          <w:szCs w:val="24"/>
        </w:rPr>
      </w:pPr>
      <w:r>
        <w:rPr>
          <w:sz w:val="24"/>
          <w:szCs w:val="24"/>
        </w:rPr>
        <w:t>Perceived barriers and resource sufficiency for implementation</w:t>
      </w:r>
    </w:p>
    <w:p w14:paraId="6415592C" w14:textId="77DBDDF9" w:rsidR="00994B06" w:rsidRDefault="00994B06" w:rsidP="00994B06">
      <w:pPr>
        <w:pStyle w:val="ListParagraph"/>
        <w:numPr>
          <w:ilvl w:val="0"/>
          <w:numId w:val="45"/>
        </w:numPr>
        <w:jc w:val="left"/>
        <w:rPr>
          <w:sz w:val="24"/>
          <w:szCs w:val="24"/>
        </w:rPr>
      </w:pPr>
      <w:r>
        <w:rPr>
          <w:sz w:val="24"/>
          <w:szCs w:val="24"/>
        </w:rPr>
        <w:t xml:space="preserve">Workforce diversity, recruitment pathways, and hiring </w:t>
      </w:r>
    </w:p>
    <w:p w14:paraId="02EBBE48" w14:textId="77777777" w:rsidR="00994B06" w:rsidRDefault="00994B06" w:rsidP="00994B06">
      <w:pPr>
        <w:pStyle w:val="ListParagraph"/>
        <w:numPr>
          <w:ilvl w:val="0"/>
          <w:numId w:val="45"/>
        </w:numPr>
        <w:jc w:val="left"/>
        <w:rPr>
          <w:sz w:val="24"/>
          <w:szCs w:val="24"/>
        </w:rPr>
      </w:pPr>
      <w:r>
        <w:rPr>
          <w:sz w:val="24"/>
          <w:szCs w:val="24"/>
        </w:rPr>
        <w:t>Criteria and processes for family participation in ITCP</w:t>
      </w:r>
    </w:p>
    <w:p w14:paraId="2CEEECD5" w14:textId="6E1DA910" w:rsidR="00994B06" w:rsidRPr="00994B06" w:rsidRDefault="00994B06" w:rsidP="00994B06">
      <w:pPr>
        <w:pStyle w:val="ListParagraph"/>
        <w:numPr>
          <w:ilvl w:val="0"/>
          <w:numId w:val="45"/>
        </w:numPr>
        <w:jc w:val="left"/>
        <w:rPr>
          <w:sz w:val="24"/>
          <w:szCs w:val="24"/>
        </w:rPr>
      </w:pPr>
      <w:r>
        <w:rPr>
          <w:sz w:val="24"/>
          <w:szCs w:val="24"/>
        </w:rPr>
        <w:t>Stakeholder experiences with training, leadership support, and interagency collaboration</w:t>
      </w:r>
    </w:p>
    <w:p w14:paraId="70755470" w14:textId="77777777" w:rsidR="001438C7" w:rsidRPr="006304F0" w:rsidRDefault="001438C7" w:rsidP="0030737F">
      <w:pPr>
        <w:jc w:val="left"/>
        <w:rPr>
          <w:b/>
          <w:bCs/>
          <w:i/>
          <w:iCs/>
          <w:sz w:val="24"/>
          <w:szCs w:val="24"/>
        </w:rPr>
      </w:pPr>
      <w:r w:rsidRPr="006304F0">
        <w:rPr>
          <w:b/>
          <w:bCs/>
          <w:i/>
          <w:iCs/>
          <w:sz w:val="24"/>
          <w:szCs w:val="24"/>
        </w:rPr>
        <w:t>Sample</w:t>
      </w:r>
    </w:p>
    <w:p w14:paraId="58C970E0" w14:textId="3EF6F37F" w:rsidR="00914F00" w:rsidRDefault="00914F00" w:rsidP="00914F00">
      <w:pPr>
        <w:jc w:val="left"/>
        <w:rPr>
          <w:sz w:val="24"/>
          <w:szCs w:val="24"/>
        </w:rPr>
      </w:pPr>
      <w:r>
        <w:rPr>
          <w:sz w:val="24"/>
          <w:szCs w:val="24"/>
        </w:rPr>
        <w:t>The sample for the September 30, 2024 – September 29, 2025, period included:</w:t>
      </w:r>
    </w:p>
    <w:p w14:paraId="767D87E3" w14:textId="1500C299" w:rsidR="001438C7" w:rsidRPr="00914F00" w:rsidRDefault="001438C7" w:rsidP="00914F00">
      <w:pPr>
        <w:pStyle w:val="ListParagraph"/>
        <w:numPr>
          <w:ilvl w:val="0"/>
          <w:numId w:val="46"/>
        </w:numPr>
        <w:jc w:val="left"/>
        <w:rPr>
          <w:sz w:val="24"/>
          <w:szCs w:val="24"/>
        </w:rPr>
      </w:pPr>
      <w:r>
        <w:rPr>
          <w:b/>
          <w:bCs/>
          <w:sz w:val="24"/>
          <w:szCs w:val="24"/>
        </w:rPr>
        <w:t>State Leadership Team Members</w:t>
      </w:r>
      <w:r>
        <w:rPr>
          <w:sz w:val="24"/>
          <w:szCs w:val="24"/>
        </w:rPr>
        <w:t xml:space="preserve">: Individuals providing strategic direction and oversight for ITCP in Iowa who participated in </w:t>
      </w:r>
      <w:proofErr w:type="gramStart"/>
      <w:r>
        <w:rPr>
          <w:sz w:val="24"/>
          <w:szCs w:val="24"/>
        </w:rPr>
        <w:t>the October</w:t>
      </w:r>
      <w:proofErr w:type="gramEnd"/>
      <w:r>
        <w:rPr>
          <w:sz w:val="24"/>
          <w:szCs w:val="24"/>
        </w:rPr>
        <w:t xml:space="preserve"> 22, 2025, SALT feedback session (n = 13 survey respondents, with additional qualitative input from breakout discussions).</w:t>
      </w:r>
    </w:p>
    <w:p w14:paraId="48D306E6" w14:textId="076FCCD0" w:rsidR="001438C7" w:rsidRDefault="001438C7" w:rsidP="0030737F">
      <w:pPr>
        <w:numPr>
          <w:ilvl w:val="0"/>
          <w:numId w:val="39"/>
        </w:numPr>
        <w:jc w:val="left"/>
        <w:rPr>
          <w:sz w:val="24"/>
          <w:szCs w:val="24"/>
        </w:rPr>
      </w:pPr>
      <w:r>
        <w:rPr>
          <w:b/>
          <w:bCs/>
          <w:sz w:val="24"/>
          <w:szCs w:val="24"/>
        </w:rPr>
        <w:t>ITCP Stakeholders</w:t>
      </w:r>
      <w:r>
        <w:rPr>
          <w:sz w:val="24"/>
          <w:szCs w:val="24"/>
        </w:rPr>
        <w:t xml:space="preserve">: Professionals from agencies serving ITCP families in Polk County, including judges, attorneys, child welfare workers, therapists, and community coordinators (n = 31 survey respondents; n = 18 completed Likert-scale </w:t>
      </w:r>
      <w:r w:rsidR="009B13AA">
        <w:rPr>
          <w:sz w:val="24"/>
          <w:szCs w:val="24"/>
        </w:rPr>
        <w:t>items</w:t>
      </w:r>
      <w:r>
        <w:rPr>
          <w:sz w:val="24"/>
          <w:szCs w:val="24"/>
        </w:rPr>
        <w:t>).</w:t>
      </w:r>
    </w:p>
    <w:p w14:paraId="5D244C11" w14:textId="11295CB2" w:rsidR="00653629" w:rsidRPr="00E5286F" w:rsidRDefault="00742A20" w:rsidP="00653629">
      <w:pPr>
        <w:numPr>
          <w:ilvl w:val="0"/>
          <w:numId w:val="39"/>
        </w:numPr>
        <w:jc w:val="left"/>
        <w:rPr>
          <w:sz w:val="24"/>
          <w:szCs w:val="24"/>
        </w:rPr>
      </w:pPr>
      <w:r>
        <w:rPr>
          <w:sz w:val="24"/>
          <w:szCs w:val="24"/>
        </w:rPr>
        <w:t>C</w:t>
      </w:r>
      <w:r w:rsidR="00D01EC8">
        <w:rPr>
          <w:sz w:val="24"/>
          <w:szCs w:val="24"/>
        </w:rPr>
        <w:t>ase-level data</w:t>
      </w:r>
      <w:r w:rsidR="001A5F3E">
        <w:rPr>
          <w:sz w:val="24"/>
          <w:szCs w:val="24"/>
        </w:rPr>
        <w:t xml:space="preserve"> are also presented </w:t>
      </w:r>
      <w:r w:rsidR="00D01EC8">
        <w:rPr>
          <w:sz w:val="24"/>
          <w:szCs w:val="24"/>
        </w:rPr>
        <w:t>for families served during the evaluation period.</w:t>
      </w:r>
    </w:p>
    <w:p w14:paraId="62BC93EC" w14:textId="77777777" w:rsidR="001438C7" w:rsidRPr="006304F0" w:rsidRDefault="001438C7" w:rsidP="0030737F">
      <w:pPr>
        <w:jc w:val="left"/>
        <w:rPr>
          <w:b/>
          <w:bCs/>
          <w:i/>
          <w:iCs/>
          <w:sz w:val="24"/>
          <w:szCs w:val="24"/>
        </w:rPr>
      </w:pPr>
      <w:r w:rsidRPr="006304F0">
        <w:rPr>
          <w:b/>
          <w:bCs/>
          <w:i/>
          <w:iCs/>
          <w:sz w:val="24"/>
          <w:szCs w:val="24"/>
        </w:rPr>
        <w:t>Survey Protocol</w:t>
      </w:r>
    </w:p>
    <w:p w14:paraId="5851DCFB" w14:textId="5A347D6C" w:rsidR="00914F00" w:rsidRPr="00914F00" w:rsidRDefault="00914F00" w:rsidP="00914F00">
      <w:pPr>
        <w:jc w:val="left"/>
        <w:rPr>
          <w:sz w:val="24"/>
          <w:szCs w:val="24"/>
        </w:rPr>
      </w:pPr>
      <w:r>
        <w:rPr>
          <w:sz w:val="24"/>
          <w:szCs w:val="24"/>
        </w:rPr>
        <w:t>The Trauma-Informed Practices Survey was distributed electronically to ITCP stakeholders on October 11 and October 29, 2025. Participation was voluntary, and responses were collected anonymously.</w:t>
      </w:r>
    </w:p>
    <w:p w14:paraId="3F6D4209" w14:textId="3EA8D970" w:rsidR="00914F00" w:rsidRDefault="00914F00" w:rsidP="00914F00">
      <w:pPr>
        <w:jc w:val="left"/>
        <w:rPr>
          <w:sz w:val="24"/>
          <w:szCs w:val="24"/>
        </w:rPr>
      </w:pPr>
      <w:r>
        <w:rPr>
          <w:sz w:val="24"/>
          <w:szCs w:val="24"/>
        </w:rPr>
        <w:lastRenderedPageBreak/>
        <w:t xml:space="preserve">The State </w:t>
      </w:r>
      <w:r w:rsidR="00F8409D">
        <w:rPr>
          <w:sz w:val="24"/>
          <w:szCs w:val="24"/>
        </w:rPr>
        <w:t xml:space="preserve">Advisory and </w:t>
      </w:r>
      <w:r>
        <w:rPr>
          <w:sz w:val="24"/>
          <w:szCs w:val="24"/>
        </w:rPr>
        <w:t xml:space="preserve">Leadership </w:t>
      </w:r>
      <w:r w:rsidR="00F8409D">
        <w:rPr>
          <w:sz w:val="24"/>
          <w:szCs w:val="24"/>
        </w:rPr>
        <w:t xml:space="preserve">Team </w:t>
      </w:r>
      <w:r>
        <w:rPr>
          <w:sz w:val="24"/>
          <w:szCs w:val="24"/>
        </w:rPr>
        <w:t xml:space="preserve">data collection was conducted during </w:t>
      </w:r>
      <w:proofErr w:type="gramStart"/>
      <w:r>
        <w:rPr>
          <w:sz w:val="24"/>
          <w:szCs w:val="24"/>
        </w:rPr>
        <w:t>the October</w:t>
      </w:r>
      <w:proofErr w:type="gramEnd"/>
      <w:r>
        <w:rPr>
          <w:sz w:val="24"/>
          <w:szCs w:val="24"/>
        </w:rPr>
        <w:t xml:space="preserve"> 22, 2025, SALT meeting using an embedded evaluation model. Leadership participants completed a brief electronic survey during the meeting and then engaged in structured small-group discussions to generate qualitative insights aligned with workforce representation, outreach, and family participation research questions</w:t>
      </w:r>
      <w:r w:rsidR="003D6052">
        <w:rPr>
          <w:sz w:val="24"/>
          <w:szCs w:val="24"/>
        </w:rPr>
        <w:t xml:space="preserve"> for the FFY 2025</w:t>
      </w:r>
      <w:r>
        <w:rPr>
          <w:sz w:val="24"/>
          <w:szCs w:val="24"/>
        </w:rPr>
        <w:t xml:space="preserve"> evaluation period.</w:t>
      </w:r>
    </w:p>
    <w:p w14:paraId="129A7A38" w14:textId="0B07A5B8" w:rsidR="001438C7" w:rsidRPr="006304F0" w:rsidRDefault="001438C7" w:rsidP="00914F00">
      <w:pPr>
        <w:jc w:val="left"/>
        <w:rPr>
          <w:b/>
          <w:bCs/>
          <w:i/>
          <w:iCs/>
          <w:sz w:val="24"/>
          <w:szCs w:val="24"/>
        </w:rPr>
      </w:pPr>
      <w:r w:rsidRPr="006304F0">
        <w:rPr>
          <w:b/>
          <w:bCs/>
          <w:i/>
          <w:iCs/>
          <w:sz w:val="24"/>
          <w:szCs w:val="24"/>
        </w:rPr>
        <w:t>Analysis</w:t>
      </w:r>
    </w:p>
    <w:p w14:paraId="268E2658" w14:textId="26F09B16" w:rsidR="00914F00" w:rsidRPr="00914F00" w:rsidRDefault="00914F00" w:rsidP="00914F00">
      <w:pPr>
        <w:jc w:val="left"/>
        <w:rPr>
          <w:sz w:val="24"/>
          <w:szCs w:val="24"/>
        </w:rPr>
      </w:pPr>
      <w:r>
        <w:rPr>
          <w:sz w:val="24"/>
          <w:szCs w:val="24"/>
        </w:rPr>
        <w:t>Survey data were analyzed using descriptive statistics to examine frequency distributions and response patterns across Likert-scale items. Open-</w:t>
      </w:r>
      <w:proofErr w:type="gramStart"/>
      <w:r>
        <w:rPr>
          <w:sz w:val="24"/>
          <w:szCs w:val="24"/>
        </w:rPr>
        <w:t>ended</w:t>
      </w:r>
      <w:proofErr w:type="gramEnd"/>
      <w:r>
        <w:rPr>
          <w:sz w:val="24"/>
          <w:szCs w:val="24"/>
        </w:rPr>
        <w:t xml:space="preserve"> survey responses and leadership focus group notes were analyzed using thematic coding to identify recurring themes related to workforce capacity, trauma-informed practice implementation, resource sufficiency, and eligibility processes.</w:t>
      </w:r>
    </w:p>
    <w:p w14:paraId="021EF94C" w14:textId="0E835C0A" w:rsidR="00DE0648" w:rsidRDefault="00914F00" w:rsidP="00EB64CA">
      <w:pPr>
        <w:jc w:val="left"/>
      </w:pPr>
      <w:r>
        <w:rPr>
          <w:sz w:val="24"/>
          <w:szCs w:val="24"/>
        </w:rPr>
        <w:t xml:space="preserve">Findings were triangulated </w:t>
      </w:r>
      <w:r w:rsidR="00DF4607">
        <w:rPr>
          <w:sz w:val="24"/>
          <w:szCs w:val="24"/>
        </w:rPr>
        <w:t>among</w:t>
      </w:r>
      <w:r>
        <w:rPr>
          <w:sz w:val="24"/>
          <w:szCs w:val="24"/>
        </w:rPr>
        <w:t xml:space="preserve"> survey responses, focus group discussions, and case-level data to strengthen interpretive validity and inform continuous quality improvement efforts. </w:t>
      </w:r>
    </w:p>
    <w:p w14:paraId="534771D9" w14:textId="77777777" w:rsidR="00DE0648" w:rsidRDefault="00DE0648" w:rsidP="0030737F">
      <w:pPr>
        <w:pStyle w:val="BodyText1"/>
      </w:pPr>
    </w:p>
    <w:p w14:paraId="0060713B" w14:textId="53EEBE1B" w:rsidR="00D47A1C" w:rsidRDefault="00D47A1C" w:rsidP="0030737F">
      <w:pPr>
        <w:pStyle w:val="BodyText1"/>
      </w:pPr>
    </w:p>
    <w:p w14:paraId="0F77C574" w14:textId="063FE002" w:rsidR="008C30FB" w:rsidRDefault="008C30FB" w:rsidP="0030737F">
      <w:pPr>
        <w:spacing w:before="0" w:after="0" w:line="240" w:lineRule="auto"/>
        <w:jc w:val="left"/>
        <w:rPr>
          <w:rFonts w:asciiTheme="minorHAnsi" w:hAnsiTheme="minorHAnsi"/>
        </w:rPr>
      </w:pPr>
      <w:r>
        <w:br w:type="page"/>
      </w:r>
    </w:p>
    <w:p w14:paraId="0E8628C0" w14:textId="0AA60BB6" w:rsidR="008C30FB" w:rsidRPr="00EB64CA" w:rsidRDefault="00D01EC8" w:rsidP="0030737F">
      <w:pPr>
        <w:pStyle w:val="Heading1"/>
        <w:rPr>
          <w:szCs w:val="40"/>
        </w:rPr>
      </w:pPr>
      <w:bookmarkStart w:id="7" w:name="_Toc193367516"/>
      <w:r w:rsidRPr="00EB64CA">
        <w:rPr>
          <w:szCs w:val="40"/>
        </w:rPr>
        <w:lastRenderedPageBreak/>
        <w:t>Survey Respondent Characteristics</w:t>
      </w:r>
      <w:bookmarkEnd w:id="7"/>
    </w:p>
    <w:p w14:paraId="2D96D723" w14:textId="22138DD6" w:rsidR="39DFCB3A" w:rsidRDefault="39DFCB3A" w:rsidP="456BE292">
      <w:pPr>
        <w:spacing w:before="0" w:after="240"/>
        <w:jc w:val="left"/>
      </w:pPr>
      <w:r>
        <w:rPr>
          <w:rFonts w:eastAsia="Roboto" w:cs="Roboto"/>
          <w:sz w:val="24"/>
          <w:szCs w:val="24"/>
        </w:rPr>
        <w:t>Members of the ITCP participated in two data collection efforts during October 2025: a State Leadership feedback session conducted on October 22, 2025, and a Trauma-Informed Practices Survey distributed electronically on October 11 and October 29, 2025.</w:t>
      </w:r>
    </w:p>
    <w:p w14:paraId="69544EB8" w14:textId="30C4CBF9" w:rsidR="39DFCB3A" w:rsidRDefault="39DFCB3A" w:rsidP="456BE292">
      <w:pPr>
        <w:spacing w:before="240" w:after="240"/>
        <w:jc w:val="left"/>
      </w:pPr>
      <w:r>
        <w:rPr>
          <w:rFonts w:eastAsia="Roboto" w:cs="Roboto"/>
          <w:sz w:val="24"/>
          <w:szCs w:val="24"/>
        </w:rPr>
        <w:t xml:space="preserve">A total of forty-four individuals engaged in the evaluation process, including 13 State Leadership respondents and </w:t>
      </w:r>
      <w:r w:rsidR="00CE09F3">
        <w:rPr>
          <w:rFonts w:eastAsia="Roboto" w:cs="Roboto"/>
          <w:sz w:val="24"/>
          <w:szCs w:val="24"/>
        </w:rPr>
        <w:t>18</w:t>
      </w:r>
      <w:r>
        <w:rPr>
          <w:rFonts w:eastAsia="Roboto" w:cs="Roboto"/>
          <w:sz w:val="24"/>
          <w:szCs w:val="24"/>
        </w:rPr>
        <w:t xml:space="preserve"> stakeholder respondents</w:t>
      </w:r>
      <w:r w:rsidR="00CE09F3">
        <w:rPr>
          <w:rFonts w:eastAsia="Roboto" w:cs="Roboto"/>
          <w:sz w:val="24"/>
          <w:szCs w:val="24"/>
        </w:rPr>
        <w:t>. These</w:t>
      </w:r>
      <w:r>
        <w:rPr>
          <w:rFonts w:eastAsia="Roboto" w:cs="Roboto"/>
          <w:sz w:val="24"/>
          <w:szCs w:val="24"/>
        </w:rPr>
        <w:t xml:space="preserve"> respondents represent a range of professional and organizational perspectives relevant to ITCP implementation. State leadership respondents included representatives from the Iowa Department of Health and Human Services, including the Child Protection</w:t>
      </w:r>
      <w:r w:rsidR="00952D78">
        <w:rPr>
          <w:rFonts w:eastAsia="Roboto" w:cs="Roboto"/>
          <w:sz w:val="24"/>
          <w:szCs w:val="24"/>
        </w:rPr>
        <w:t>,</w:t>
      </w:r>
      <w:r>
        <w:rPr>
          <w:rFonts w:eastAsia="Roboto" w:cs="Roboto"/>
          <w:sz w:val="24"/>
          <w:szCs w:val="24"/>
        </w:rPr>
        <w:t xml:space="preserve"> Family Well-Being and Protection division, the Iowa Courts, the University of Iowa, and other </w:t>
      </w:r>
      <w:r w:rsidR="00C45145">
        <w:rPr>
          <w:rFonts w:eastAsia="Roboto" w:cs="Roboto"/>
          <w:sz w:val="24"/>
          <w:szCs w:val="24"/>
        </w:rPr>
        <w:t xml:space="preserve">various local </w:t>
      </w:r>
      <w:r>
        <w:rPr>
          <w:rFonts w:eastAsia="Roboto" w:cs="Roboto"/>
          <w:sz w:val="24"/>
          <w:szCs w:val="24"/>
        </w:rPr>
        <w:t xml:space="preserve">partner organizations. Stakeholder respondents were primarily legal professionals including </w:t>
      </w:r>
      <w:r w:rsidR="00C45145">
        <w:rPr>
          <w:rFonts w:eastAsia="Roboto" w:cs="Roboto"/>
          <w:sz w:val="24"/>
          <w:szCs w:val="24"/>
        </w:rPr>
        <w:t>attorneys</w:t>
      </w:r>
      <w:r w:rsidR="00CD0107">
        <w:rPr>
          <w:rFonts w:eastAsia="Roboto" w:cs="Roboto"/>
          <w:sz w:val="24"/>
          <w:szCs w:val="24"/>
        </w:rPr>
        <w:t xml:space="preserve"> (county and </w:t>
      </w:r>
      <w:r>
        <w:rPr>
          <w:rFonts w:eastAsia="Roboto" w:cs="Roboto"/>
          <w:sz w:val="24"/>
          <w:szCs w:val="24"/>
        </w:rPr>
        <w:t>children’s</w:t>
      </w:r>
      <w:r w:rsidR="00CD0107">
        <w:rPr>
          <w:rFonts w:eastAsia="Roboto" w:cs="Roboto"/>
          <w:sz w:val="24"/>
          <w:szCs w:val="24"/>
        </w:rPr>
        <w:t>)</w:t>
      </w:r>
      <w:r>
        <w:rPr>
          <w:rFonts w:eastAsia="Roboto" w:cs="Roboto"/>
          <w:sz w:val="24"/>
          <w:szCs w:val="24"/>
        </w:rPr>
        <w:t xml:space="preserve"> and judges, child welfare workers, therapists, counselors, CASA</w:t>
      </w:r>
      <w:r w:rsidR="00C45145">
        <w:rPr>
          <w:rFonts w:eastAsia="Roboto" w:cs="Roboto"/>
          <w:sz w:val="24"/>
          <w:szCs w:val="24"/>
        </w:rPr>
        <w:t>s</w:t>
      </w:r>
      <w:r>
        <w:rPr>
          <w:rFonts w:eastAsia="Roboto" w:cs="Roboto"/>
          <w:sz w:val="24"/>
          <w:szCs w:val="24"/>
        </w:rPr>
        <w:t xml:space="preserve">, </w:t>
      </w:r>
      <w:r w:rsidR="00F24B29">
        <w:rPr>
          <w:rFonts w:eastAsia="Roboto" w:cs="Roboto"/>
          <w:sz w:val="24"/>
          <w:szCs w:val="24"/>
        </w:rPr>
        <w:t xml:space="preserve">child welfare </w:t>
      </w:r>
      <w:r>
        <w:rPr>
          <w:rFonts w:eastAsia="Roboto" w:cs="Roboto"/>
          <w:sz w:val="24"/>
          <w:szCs w:val="24"/>
        </w:rPr>
        <w:t>supervisors, and community</w:t>
      </w:r>
      <w:r w:rsidR="00F24B29">
        <w:rPr>
          <w:rFonts w:eastAsia="Roboto" w:cs="Roboto"/>
          <w:sz w:val="24"/>
          <w:szCs w:val="24"/>
        </w:rPr>
        <w:t xml:space="preserve"> </w:t>
      </w:r>
      <w:r>
        <w:rPr>
          <w:rFonts w:eastAsia="Roboto" w:cs="Roboto"/>
          <w:sz w:val="24"/>
          <w:szCs w:val="24"/>
        </w:rPr>
        <w:t>navigator</w:t>
      </w:r>
      <w:r w:rsidR="00F24B29">
        <w:rPr>
          <w:rFonts w:eastAsia="Roboto" w:cs="Roboto"/>
          <w:sz w:val="24"/>
          <w:szCs w:val="24"/>
        </w:rPr>
        <w:t xml:space="preserve">s and </w:t>
      </w:r>
      <w:r>
        <w:rPr>
          <w:rFonts w:eastAsia="Roboto" w:cs="Roboto"/>
          <w:sz w:val="24"/>
          <w:szCs w:val="24"/>
        </w:rPr>
        <w:t>social work professional</w:t>
      </w:r>
      <w:r w:rsidR="00F24B29">
        <w:rPr>
          <w:rFonts w:eastAsia="Roboto" w:cs="Roboto"/>
          <w:sz w:val="24"/>
          <w:szCs w:val="24"/>
        </w:rPr>
        <w:t>s</w:t>
      </w:r>
      <w:r>
        <w:rPr>
          <w:rFonts w:eastAsia="Roboto" w:cs="Roboto"/>
          <w:sz w:val="24"/>
          <w:szCs w:val="24"/>
        </w:rPr>
        <w:t>.</w:t>
      </w:r>
    </w:p>
    <w:p w14:paraId="71E0B874" w14:textId="07C3A593" w:rsidR="39DFCB3A" w:rsidRDefault="39DFCB3A" w:rsidP="456BE292">
      <w:pPr>
        <w:spacing w:before="240" w:after="240"/>
        <w:jc w:val="left"/>
      </w:pPr>
      <w:r>
        <w:rPr>
          <w:rFonts w:eastAsia="Roboto" w:cs="Roboto"/>
          <w:sz w:val="24"/>
          <w:szCs w:val="24"/>
        </w:rPr>
        <w:t xml:space="preserve">Among stakeholder respondents, legal professionals </w:t>
      </w:r>
      <w:r w:rsidR="00EB6989">
        <w:rPr>
          <w:rFonts w:eastAsia="Roboto" w:cs="Roboto"/>
          <w:sz w:val="24"/>
          <w:szCs w:val="24"/>
        </w:rPr>
        <w:t>were</w:t>
      </w:r>
      <w:r>
        <w:rPr>
          <w:rFonts w:eastAsia="Roboto" w:cs="Roboto"/>
          <w:sz w:val="24"/>
          <w:szCs w:val="24"/>
        </w:rPr>
        <w:t xml:space="preserve"> the largest group</w:t>
      </w:r>
      <w:r w:rsidR="00EB6989">
        <w:rPr>
          <w:rFonts w:eastAsia="Roboto" w:cs="Roboto"/>
          <w:sz w:val="24"/>
          <w:szCs w:val="24"/>
        </w:rPr>
        <w:t xml:space="preserve"> with t</w:t>
      </w:r>
      <w:r>
        <w:rPr>
          <w:rFonts w:eastAsia="Roboto" w:cs="Roboto"/>
          <w:sz w:val="24"/>
          <w:szCs w:val="24"/>
        </w:rPr>
        <w:t>en</w:t>
      </w:r>
      <w:r w:rsidR="00EB6989">
        <w:rPr>
          <w:rFonts w:eastAsia="Roboto" w:cs="Roboto"/>
          <w:sz w:val="24"/>
          <w:szCs w:val="24"/>
        </w:rPr>
        <w:t xml:space="preserve"> (10)</w:t>
      </w:r>
      <w:r>
        <w:rPr>
          <w:rFonts w:eastAsia="Roboto" w:cs="Roboto"/>
          <w:sz w:val="24"/>
          <w:szCs w:val="24"/>
        </w:rPr>
        <w:t xml:space="preserve"> respondents identified as </w:t>
      </w:r>
      <w:r w:rsidR="008031DF">
        <w:rPr>
          <w:rFonts w:eastAsia="Roboto" w:cs="Roboto"/>
          <w:sz w:val="24"/>
          <w:szCs w:val="24"/>
        </w:rPr>
        <w:t>attorneys</w:t>
      </w:r>
      <w:r>
        <w:rPr>
          <w:rFonts w:eastAsia="Roboto" w:cs="Roboto"/>
          <w:sz w:val="24"/>
          <w:szCs w:val="24"/>
        </w:rPr>
        <w:t xml:space="preserve"> or judges (56%), five</w:t>
      </w:r>
      <w:r w:rsidR="00EB6989">
        <w:rPr>
          <w:rFonts w:eastAsia="Roboto" w:cs="Roboto"/>
          <w:sz w:val="24"/>
          <w:szCs w:val="24"/>
        </w:rPr>
        <w:t xml:space="preserve"> (5)</w:t>
      </w:r>
      <w:r>
        <w:rPr>
          <w:rFonts w:eastAsia="Roboto" w:cs="Roboto"/>
          <w:sz w:val="24"/>
          <w:szCs w:val="24"/>
        </w:rPr>
        <w:t xml:space="preserve"> identified as helping professionals</w:t>
      </w:r>
      <w:r w:rsidR="00EB6989">
        <w:rPr>
          <w:rFonts w:eastAsia="Roboto" w:cs="Roboto"/>
          <w:sz w:val="24"/>
          <w:szCs w:val="24"/>
        </w:rPr>
        <w:t xml:space="preserve"> </w:t>
      </w:r>
      <w:r>
        <w:rPr>
          <w:rFonts w:eastAsia="Roboto" w:cs="Roboto"/>
          <w:sz w:val="24"/>
          <w:szCs w:val="24"/>
        </w:rPr>
        <w:t>including child welfare workers, therapists, counselors, CASA, and community-based social service roles (28%), and two</w:t>
      </w:r>
      <w:r w:rsidR="00EB6989">
        <w:rPr>
          <w:rFonts w:eastAsia="Roboto" w:cs="Roboto"/>
          <w:sz w:val="24"/>
          <w:szCs w:val="24"/>
        </w:rPr>
        <w:t xml:space="preserve"> (2)</w:t>
      </w:r>
      <w:r>
        <w:rPr>
          <w:rFonts w:eastAsia="Roboto" w:cs="Roboto"/>
          <w:sz w:val="24"/>
          <w:szCs w:val="24"/>
        </w:rPr>
        <w:t xml:space="preserve"> identified as supervisors (11%). One stakeholder respondent did not report a professional role. Compared </w:t>
      </w:r>
      <w:r w:rsidR="00226C05">
        <w:rPr>
          <w:rFonts w:eastAsia="Roboto" w:cs="Roboto"/>
          <w:sz w:val="24"/>
          <w:szCs w:val="24"/>
        </w:rPr>
        <w:t>to</w:t>
      </w:r>
      <w:r>
        <w:rPr>
          <w:rFonts w:eastAsia="Roboto" w:cs="Roboto"/>
          <w:sz w:val="24"/>
          <w:szCs w:val="24"/>
        </w:rPr>
        <w:t xml:space="preserve"> FY2024, the FY2025 sample </w:t>
      </w:r>
      <w:r w:rsidR="00226C05">
        <w:rPr>
          <w:rFonts w:eastAsia="Roboto" w:cs="Roboto"/>
          <w:sz w:val="24"/>
          <w:szCs w:val="24"/>
        </w:rPr>
        <w:t xml:space="preserve">was </w:t>
      </w:r>
      <w:r>
        <w:rPr>
          <w:rFonts w:eastAsia="Roboto" w:cs="Roboto"/>
          <w:sz w:val="24"/>
          <w:szCs w:val="24"/>
        </w:rPr>
        <w:t>similar</w:t>
      </w:r>
      <w:r w:rsidR="00226C05">
        <w:rPr>
          <w:rFonts w:eastAsia="Roboto" w:cs="Roboto"/>
          <w:sz w:val="24"/>
          <w:szCs w:val="24"/>
        </w:rPr>
        <w:t xml:space="preserve"> with</w:t>
      </w:r>
      <w:r>
        <w:rPr>
          <w:rFonts w:eastAsia="Roboto" w:cs="Roboto"/>
          <w:sz w:val="24"/>
          <w:szCs w:val="24"/>
        </w:rPr>
        <w:t xml:space="preserve"> strong representation from legal and child-serving professionals</w:t>
      </w:r>
      <w:r w:rsidR="00EB64CA">
        <w:rPr>
          <w:rFonts w:eastAsia="Roboto" w:cs="Roboto"/>
          <w:sz w:val="24"/>
          <w:szCs w:val="24"/>
        </w:rPr>
        <w:t>.</w:t>
      </w:r>
    </w:p>
    <w:p w14:paraId="031F94A6" w14:textId="5E21EA0D" w:rsidR="39DFCB3A" w:rsidRDefault="39DFCB3A" w:rsidP="456BE292">
      <w:pPr>
        <w:spacing w:before="240" w:after="240"/>
        <w:jc w:val="left"/>
      </w:pPr>
      <w:r>
        <w:rPr>
          <w:rFonts w:eastAsia="Roboto" w:cs="Roboto"/>
          <w:sz w:val="24"/>
          <w:szCs w:val="24"/>
        </w:rPr>
        <w:t xml:space="preserve">Years of involvement in ITCP varied across respondents, with representation from individuals newly engaged in the </w:t>
      </w:r>
      <w:r w:rsidR="001A0CFA">
        <w:rPr>
          <w:rFonts w:eastAsia="Roboto" w:cs="Roboto"/>
          <w:sz w:val="24"/>
          <w:szCs w:val="24"/>
        </w:rPr>
        <w:t xml:space="preserve">ITCP approach </w:t>
      </w:r>
      <w:r>
        <w:rPr>
          <w:rFonts w:eastAsia="Roboto" w:cs="Roboto"/>
          <w:sz w:val="24"/>
          <w:szCs w:val="24"/>
        </w:rPr>
        <w:t xml:space="preserve">as well as those with </w:t>
      </w:r>
      <w:r w:rsidR="0072175D">
        <w:rPr>
          <w:rFonts w:eastAsia="Roboto" w:cs="Roboto"/>
          <w:sz w:val="24"/>
          <w:szCs w:val="24"/>
        </w:rPr>
        <w:t>many</w:t>
      </w:r>
      <w:r>
        <w:rPr>
          <w:rFonts w:eastAsia="Roboto" w:cs="Roboto"/>
          <w:sz w:val="24"/>
          <w:szCs w:val="24"/>
        </w:rPr>
        <w:t xml:space="preserve"> years of experience. This range of tenure provided both historical system perspective and insight from newer participants regarding training, implementation, and referral processes. </w:t>
      </w:r>
      <w:r w:rsidR="00295928">
        <w:rPr>
          <w:rFonts w:eastAsia="Roboto" w:cs="Roboto"/>
          <w:sz w:val="24"/>
          <w:szCs w:val="24"/>
        </w:rPr>
        <w:t xml:space="preserve">Some </w:t>
      </w:r>
      <w:r>
        <w:rPr>
          <w:rFonts w:eastAsia="Roboto" w:cs="Roboto"/>
          <w:sz w:val="24"/>
          <w:szCs w:val="24"/>
        </w:rPr>
        <w:t>respondents (n = 8, 44%) indicated that they had been involved with ITCP for five or more years</w:t>
      </w:r>
      <w:r w:rsidR="0072175D">
        <w:rPr>
          <w:rFonts w:eastAsia="Roboto" w:cs="Roboto"/>
          <w:sz w:val="24"/>
          <w:szCs w:val="24"/>
        </w:rPr>
        <w:t xml:space="preserve"> which is</w:t>
      </w:r>
      <w:r>
        <w:rPr>
          <w:rFonts w:eastAsia="Roboto" w:cs="Roboto"/>
          <w:sz w:val="24"/>
          <w:szCs w:val="24"/>
        </w:rPr>
        <w:t xml:space="preserve"> </w:t>
      </w:r>
      <w:proofErr w:type="gramStart"/>
      <w:r>
        <w:rPr>
          <w:rFonts w:eastAsia="Roboto" w:cs="Roboto"/>
          <w:sz w:val="24"/>
          <w:szCs w:val="24"/>
        </w:rPr>
        <w:t>similar to</w:t>
      </w:r>
      <w:proofErr w:type="gramEnd"/>
      <w:r>
        <w:rPr>
          <w:rFonts w:eastAsia="Roboto" w:cs="Roboto"/>
          <w:sz w:val="24"/>
          <w:szCs w:val="24"/>
        </w:rPr>
        <w:t xml:space="preserve"> FY2024 (42%). Others reported involvement of three to four years (n = 2, 11%), one to two years (n = 4, 22%), and one year or less (n = 3, 17%)</w:t>
      </w:r>
      <w:r w:rsidR="00295928">
        <w:rPr>
          <w:rFonts w:eastAsia="Roboto" w:cs="Roboto"/>
          <w:sz w:val="24"/>
          <w:szCs w:val="24"/>
        </w:rPr>
        <w:t xml:space="preserve">; </w:t>
      </w:r>
      <w:r>
        <w:rPr>
          <w:rFonts w:eastAsia="Roboto" w:cs="Roboto"/>
          <w:sz w:val="24"/>
          <w:szCs w:val="24"/>
        </w:rPr>
        <w:t xml:space="preserve">one individual </w:t>
      </w:r>
      <w:r w:rsidR="00295928">
        <w:rPr>
          <w:rFonts w:eastAsia="Roboto" w:cs="Roboto"/>
          <w:sz w:val="24"/>
          <w:szCs w:val="24"/>
        </w:rPr>
        <w:t xml:space="preserve">did </w:t>
      </w:r>
      <w:r>
        <w:rPr>
          <w:rFonts w:eastAsia="Roboto" w:cs="Roboto"/>
          <w:sz w:val="24"/>
          <w:szCs w:val="24"/>
        </w:rPr>
        <w:t>not respond to the question (</w:t>
      </w:r>
      <w:r w:rsidR="0072175D">
        <w:rPr>
          <w:rFonts w:eastAsia="Roboto" w:cs="Roboto"/>
          <w:sz w:val="24"/>
          <w:szCs w:val="24"/>
        </w:rPr>
        <w:t xml:space="preserve">n=1, </w:t>
      </w:r>
      <w:r>
        <w:rPr>
          <w:rFonts w:eastAsia="Roboto" w:cs="Roboto"/>
          <w:sz w:val="24"/>
          <w:szCs w:val="24"/>
        </w:rPr>
        <w:t>6%).</w:t>
      </w:r>
      <w:bookmarkStart w:id="8" w:name="_Toc193367517"/>
    </w:p>
    <w:p w14:paraId="3746A3FD" w14:textId="77777777" w:rsidR="005C7833" w:rsidRDefault="005C7833">
      <w:pPr>
        <w:spacing w:before="0" w:after="0" w:line="240" w:lineRule="auto"/>
        <w:jc w:val="left"/>
        <w:rPr>
          <w:b/>
          <w:bCs/>
          <w:color w:val="000000" w:themeColor="text1"/>
          <w:sz w:val="36"/>
          <w:szCs w:val="96"/>
        </w:rPr>
      </w:pPr>
      <w:r>
        <w:rPr>
          <w:sz w:val="36"/>
          <w:szCs w:val="96"/>
        </w:rPr>
        <w:br w:type="page"/>
      </w:r>
    </w:p>
    <w:p w14:paraId="75A75905" w14:textId="1C59ACCB" w:rsidR="00EB6C17" w:rsidRDefault="00FA52EE" w:rsidP="0030737F">
      <w:pPr>
        <w:pStyle w:val="Heading2"/>
        <w:rPr>
          <w:sz w:val="36"/>
          <w:szCs w:val="96"/>
        </w:rPr>
      </w:pPr>
      <w:r>
        <w:rPr>
          <w:sz w:val="36"/>
          <w:szCs w:val="96"/>
        </w:rPr>
        <w:lastRenderedPageBreak/>
        <w:t>Trauma-Responsive and Evidence-Based Practices</w:t>
      </w:r>
      <w:bookmarkEnd w:id="8"/>
    </w:p>
    <w:p w14:paraId="34D4239C" w14:textId="212436E8" w:rsidR="006F0DBC" w:rsidRDefault="006F0DBC" w:rsidP="0030737F">
      <w:pPr>
        <w:pStyle w:val="BodyText1"/>
        <w:rPr>
          <w:sz w:val="24"/>
          <w:szCs w:val="24"/>
        </w:rPr>
      </w:pPr>
      <w:r>
        <w:rPr>
          <w:sz w:val="24"/>
          <w:szCs w:val="24"/>
        </w:rPr>
        <w:t xml:space="preserve">Trauma-responsive practice is an adaptive, nonpunitive approach to meet the unique needs of individuals with trauma </w:t>
      </w:r>
      <w:r w:rsidRPr="005644EF">
        <w:rPr>
          <w:b/>
          <w:bCs/>
          <w:sz w:val="24"/>
          <w:szCs w:val="24"/>
        </w:rPr>
        <w:t>(</w:t>
      </w:r>
      <w:hyperlink r:id="rId25" w:history="1">
        <w:r w:rsidRPr="005644EF">
          <w:rPr>
            <w:rStyle w:val="Hyperlink"/>
            <w:b w:val="0"/>
            <w:bCs/>
            <w:color w:val="auto"/>
            <w:sz w:val="24"/>
            <w:szCs w:val="24"/>
          </w:rPr>
          <w:t>Zero to Three, 2020</w:t>
        </w:r>
      </w:hyperlink>
      <w:r w:rsidRPr="005644EF">
        <w:rPr>
          <w:b/>
          <w:bCs/>
          <w:sz w:val="24"/>
          <w:szCs w:val="24"/>
        </w:rPr>
        <w:t>).</w:t>
      </w:r>
      <w:r w:rsidRPr="005644EF">
        <w:rPr>
          <w:sz w:val="24"/>
          <w:szCs w:val="24"/>
        </w:rPr>
        <w:t xml:space="preserve"> </w:t>
      </w:r>
      <w:r>
        <w:rPr>
          <w:sz w:val="24"/>
          <w:szCs w:val="24"/>
        </w:rPr>
        <w:t>These practices may include implementing routines and clear expectations, reflective supervision, along with clinical therapies like PCIT, EMDR, and Play Therapy. Evidence-based practices are interventions with research evidence regarding outcomes (</w:t>
      </w:r>
      <w:hyperlink r:id="rId26" w:history="1">
        <w:r w:rsidRPr="005644EF">
          <w:rPr>
            <w:rStyle w:val="Hyperlink"/>
            <w:b w:val="0"/>
            <w:bCs/>
            <w:color w:val="auto"/>
            <w:sz w:val="24"/>
            <w:szCs w:val="24"/>
          </w:rPr>
          <w:t>Zero to Three, 2020</w:t>
        </w:r>
      </w:hyperlink>
      <w:r>
        <w:rPr>
          <w:sz w:val="24"/>
          <w:szCs w:val="24"/>
        </w:rPr>
        <w:t xml:space="preserve">). </w:t>
      </w:r>
    </w:p>
    <w:p w14:paraId="14E827EC" w14:textId="4D394855" w:rsidR="00914F00" w:rsidRPr="005C39B9" w:rsidRDefault="00914F00" w:rsidP="0030737F">
      <w:pPr>
        <w:pStyle w:val="BodyText1"/>
        <w:rPr>
          <w:sz w:val="24"/>
          <w:szCs w:val="24"/>
        </w:rPr>
      </w:pPr>
      <w:r>
        <w:rPr>
          <w:sz w:val="24"/>
          <w:szCs w:val="24"/>
        </w:rPr>
        <w:t xml:space="preserve">In 2025, </w:t>
      </w:r>
      <w:r w:rsidR="008031DF">
        <w:rPr>
          <w:sz w:val="24"/>
          <w:szCs w:val="24"/>
        </w:rPr>
        <w:t>18</w:t>
      </w:r>
      <w:r>
        <w:rPr>
          <w:sz w:val="24"/>
          <w:szCs w:val="24"/>
        </w:rPr>
        <w:t xml:space="preserve"> stakeholders </w:t>
      </w:r>
      <w:r w:rsidR="000343EC">
        <w:rPr>
          <w:sz w:val="24"/>
          <w:szCs w:val="24"/>
        </w:rPr>
        <w:t>completed</w:t>
      </w:r>
      <w:r>
        <w:rPr>
          <w:sz w:val="24"/>
          <w:szCs w:val="24"/>
        </w:rPr>
        <w:t xml:space="preserve"> the Trauma-Informed Practices Survey. </w:t>
      </w:r>
      <w:r w:rsidR="000343EC">
        <w:rPr>
          <w:sz w:val="24"/>
          <w:szCs w:val="24"/>
        </w:rPr>
        <w:t>All e</w:t>
      </w:r>
      <w:r>
        <w:rPr>
          <w:sz w:val="24"/>
          <w:szCs w:val="24"/>
        </w:rPr>
        <w:t>ighteen</w:t>
      </w:r>
      <w:r w:rsidR="008031DF">
        <w:rPr>
          <w:sz w:val="24"/>
          <w:szCs w:val="24"/>
        </w:rPr>
        <w:t xml:space="preserve"> (18)</w:t>
      </w:r>
      <w:r>
        <w:rPr>
          <w:sz w:val="24"/>
          <w:szCs w:val="24"/>
        </w:rPr>
        <w:t xml:space="preserve"> respondents completed the Likert-scale section assessing frequency, confidence, training, and organizational support related to trauma-responsive and evidence-based practices. Nearly all survey respondents (n=16, 89%) reported having previous experience using trauma-responsive or evidence-based practices.</w:t>
      </w:r>
    </w:p>
    <w:p w14:paraId="77833E02" w14:textId="135871E2" w:rsidR="002068D3" w:rsidRDefault="00303D27" w:rsidP="0030737F">
      <w:pPr>
        <w:pStyle w:val="Heading3"/>
        <w:rPr>
          <w:i/>
          <w:iCs/>
        </w:rPr>
      </w:pPr>
      <w:r>
        <w:rPr>
          <w:i/>
          <w:iCs/>
        </w:rPr>
        <w:t>To what degree do ITCP professionals utilize evidence-based and trauma-responsive practices in their work?</w:t>
      </w:r>
    </w:p>
    <w:p w14:paraId="09CD8375" w14:textId="77777777" w:rsidR="00C23F96" w:rsidRPr="00C23F96" w:rsidRDefault="00C23F96" w:rsidP="00C23F96">
      <w:pPr>
        <w:jc w:val="left"/>
        <w:rPr>
          <w:sz w:val="24"/>
          <w:szCs w:val="24"/>
        </w:rPr>
      </w:pPr>
      <w:r>
        <w:rPr>
          <w:sz w:val="24"/>
          <w:szCs w:val="24"/>
        </w:rPr>
        <w:t>Respondents answered four questions about their use of trauma-responsive practices (Figure 1) and four questions about their use of evidence-based practices (Figure 2). Each set of questions asked respondents to rate their agreement with statements about:</w:t>
      </w:r>
    </w:p>
    <w:p w14:paraId="2C38DA40" w14:textId="77777777" w:rsidR="00C23F96" w:rsidRPr="00C23F96" w:rsidRDefault="00C23F96" w:rsidP="00C23F96">
      <w:pPr>
        <w:numPr>
          <w:ilvl w:val="0"/>
          <w:numId w:val="47"/>
        </w:numPr>
        <w:jc w:val="left"/>
        <w:rPr>
          <w:sz w:val="24"/>
          <w:szCs w:val="24"/>
        </w:rPr>
      </w:pPr>
      <w:r>
        <w:rPr>
          <w:sz w:val="24"/>
          <w:szCs w:val="24"/>
        </w:rPr>
        <w:t>How often they use these practices</w:t>
      </w:r>
    </w:p>
    <w:p w14:paraId="1C198C50" w14:textId="77777777" w:rsidR="00C23F96" w:rsidRPr="00C23F96" w:rsidRDefault="00C23F96" w:rsidP="00C23F96">
      <w:pPr>
        <w:numPr>
          <w:ilvl w:val="0"/>
          <w:numId w:val="47"/>
        </w:numPr>
        <w:jc w:val="left"/>
        <w:rPr>
          <w:sz w:val="24"/>
          <w:szCs w:val="24"/>
        </w:rPr>
      </w:pPr>
      <w:r>
        <w:rPr>
          <w:sz w:val="24"/>
          <w:szCs w:val="24"/>
        </w:rPr>
        <w:t>Their confidence in using these practices</w:t>
      </w:r>
    </w:p>
    <w:p w14:paraId="1B28A258" w14:textId="77777777" w:rsidR="00C23F96" w:rsidRPr="00C23F96" w:rsidRDefault="00C23F96" w:rsidP="00C23F96">
      <w:pPr>
        <w:numPr>
          <w:ilvl w:val="0"/>
          <w:numId w:val="47"/>
        </w:numPr>
        <w:jc w:val="left"/>
        <w:rPr>
          <w:sz w:val="24"/>
          <w:szCs w:val="24"/>
        </w:rPr>
      </w:pPr>
      <w:r>
        <w:rPr>
          <w:sz w:val="24"/>
          <w:szCs w:val="24"/>
        </w:rPr>
        <w:t xml:space="preserve">Training received </w:t>
      </w:r>
      <w:proofErr w:type="gramStart"/>
      <w:r>
        <w:rPr>
          <w:sz w:val="24"/>
          <w:szCs w:val="24"/>
        </w:rPr>
        <w:t>on</w:t>
      </w:r>
      <w:proofErr w:type="gramEnd"/>
      <w:r>
        <w:rPr>
          <w:sz w:val="24"/>
          <w:szCs w:val="24"/>
        </w:rPr>
        <w:t xml:space="preserve"> these practices</w:t>
      </w:r>
    </w:p>
    <w:p w14:paraId="00E8D62D" w14:textId="77777777" w:rsidR="00C23F96" w:rsidRPr="00C23F96" w:rsidRDefault="00C23F96" w:rsidP="00C23F96">
      <w:pPr>
        <w:numPr>
          <w:ilvl w:val="0"/>
          <w:numId w:val="47"/>
        </w:numPr>
        <w:jc w:val="left"/>
        <w:rPr>
          <w:sz w:val="24"/>
          <w:szCs w:val="24"/>
        </w:rPr>
      </w:pPr>
      <w:r>
        <w:rPr>
          <w:sz w:val="24"/>
          <w:szCs w:val="24"/>
        </w:rPr>
        <w:t>Organizational support for the use of these practices</w:t>
      </w:r>
    </w:p>
    <w:p w14:paraId="60152EB7" w14:textId="769FA967" w:rsidR="00C23F96" w:rsidRPr="00C23F96" w:rsidRDefault="00C23F96" w:rsidP="00C23F96">
      <w:pPr>
        <w:pStyle w:val="Heading3"/>
        <w:rPr>
          <w:i/>
          <w:iCs/>
        </w:rPr>
      </w:pPr>
      <w:r>
        <w:rPr>
          <w:i/>
          <w:iCs/>
        </w:rPr>
        <w:t>Trauma-Responsive Practices</w:t>
      </w:r>
    </w:p>
    <w:p w14:paraId="728E8157" w14:textId="41A1F4F5" w:rsidR="00C23F96" w:rsidRDefault="00C23F96" w:rsidP="456BE292">
      <w:pPr>
        <w:pStyle w:val="BodyText1"/>
        <w:rPr>
          <w:sz w:val="24"/>
          <w:szCs w:val="24"/>
        </w:rPr>
      </w:pPr>
      <w:r>
        <w:rPr>
          <w:sz w:val="24"/>
          <w:szCs w:val="24"/>
        </w:rPr>
        <w:t xml:space="preserve">Figure 1 demonstrates responses to the four trauma-responsive practice questions. </w:t>
      </w:r>
      <w:proofErr w:type="gramStart"/>
      <w:r w:rsidR="00956469">
        <w:rPr>
          <w:sz w:val="24"/>
          <w:szCs w:val="24"/>
        </w:rPr>
        <w:t>The</w:t>
      </w:r>
      <w:r>
        <w:rPr>
          <w:sz w:val="24"/>
          <w:szCs w:val="24"/>
        </w:rPr>
        <w:t xml:space="preserve"> majority of</w:t>
      </w:r>
      <w:proofErr w:type="gramEnd"/>
      <w:r>
        <w:rPr>
          <w:sz w:val="24"/>
          <w:szCs w:val="24"/>
        </w:rPr>
        <w:t xml:space="preserve"> respondents reported frequent use of trauma-responsive practices (89% agree or strongly agree) and high confidence in applying </w:t>
      </w:r>
      <w:r w:rsidR="00956469">
        <w:rPr>
          <w:sz w:val="24"/>
          <w:szCs w:val="24"/>
        </w:rPr>
        <w:t>those practices</w:t>
      </w:r>
      <w:r>
        <w:rPr>
          <w:sz w:val="24"/>
          <w:szCs w:val="24"/>
        </w:rPr>
        <w:t xml:space="preserve"> (89%). Seventy-eight percent reported having received adequate training, and 83% indicated that their organization supports trauma-responsive approaches.</w:t>
      </w:r>
    </w:p>
    <w:p w14:paraId="1F0A6537" w14:textId="77777777" w:rsidR="00005027" w:rsidRDefault="00005027" w:rsidP="00C11124">
      <w:pPr>
        <w:spacing w:before="0" w:after="0" w:line="240" w:lineRule="auto"/>
        <w:jc w:val="left"/>
        <w:rPr>
          <w:i/>
          <w:iCs/>
          <w:sz w:val="22"/>
          <w:szCs w:val="22"/>
        </w:rPr>
      </w:pPr>
    </w:p>
    <w:p w14:paraId="75CF81F0" w14:textId="77777777" w:rsidR="00005027" w:rsidRDefault="00005027" w:rsidP="00C11124">
      <w:pPr>
        <w:spacing w:before="0" w:after="0" w:line="240" w:lineRule="auto"/>
        <w:jc w:val="left"/>
        <w:rPr>
          <w:i/>
          <w:iCs/>
          <w:sz w:val="22"/>
          <w:szCs w:val="22"/>
        </w:rPr>
      </w:pPr>
    </w:p>
    <w:p w14:paraId="30D2DC6C" w14:textId="77777777" w:rsidR="00005027" w:rsidRDefault="00005027" w:rsidP="00C11124">
      <w:pPr>
        <w:spacing w:before="0" w:after="0" w:line="240" w:lineRule="auto"/>
        <w:jc w:val="left"/>
        <w:rPr>
          <w:i/>
          <w:iCs/>
          <w:sz w:val="22"/>
          <w:szCs w:val="22"/>
        </w:rPr>
      </w:pPr>
    </w:p>
    <w:p w14:paraId="6890DB38" w14:textId="77777777" w:rsidR="00005027" w:rsidRDefault="00005027" w:rsidP="00C11124">
      <w:pPr>
        <w:spacing w:before="0" w:after="0" w:line="240" w:lineRule="auto"/>
        <w:jc w:val="left"/>
        <w:rPr>
          <w:i/>
          <w:iCs/>
          <w:sz w:val="22"/>
          <w:szCs w:val="22"/>
        </w:rPr>
      </w:pPr>
    </w:p>
    <w:p w14:paraId="0F15F471" w14:textId="77777777" w:rsidR="00005027" w:rsidRDefault="00005027" w:rsidP="00C11124">
      <w:pPr>
        <w:spacing w:before="0" w:after="0" w:line="240" w:lineRule="auto"/>
        <w:jc w:val="left"/>
        <w:rPr>
          <w:i/>
          <w:iCs/>
          <w:sz w:val="22"/>
          <w:szCs w:val="22"/>
        </w:rPr>
      </w:pPr>
    </w:p>
    <w:p w14:paraId="72D32BEA" w14:textId="77777777" w:rsidR="00005027" w:rsidRDefault="00005027" w:rsidP="00C11124">
      <w:pPr>
        <w:spacing w:before="0" w:after="0" w:line="240" w:lineRule="auto"/>
        <w:jc w:val="left"/>
        <w:rPr>
          <w:i/>
          <w:iCs/>
          <w:sz w:val="22"/>
          <w:szCs w:val="22"/>
        </w:rPr>
      </w:pPr>
    </w:p>
    <w:p w14:paraId="3D726945" w14:textId="77777777" w:rsidR="00005027" w:rsidRDefault="00005027" w:rsidP="00C11124">
      <w:pPr>
        <w:spacing w:before="0" w:after="0" w:line="240" w:lineRule="auto"/>
        <w:jc w:val="left"/>
        <w:rPr>
          <w:i/>
          <w:iCs/>
          <w:sz w:val="22"/>
          <w:szCs w:val="22"/>
        </w:rPr>
      </w:pPr>
    </w:p>
    <w:p w14:paraId="702CA16D" w14:textId="77777777" w:rsidR="00005027" w:rsidRDefault="00005027" w:rsidP="00C11124">
      <w:pPr>
        <w:spacing w:before="0" w:after="0" w:line="240" w:lineRule="auto"/>
        <w:jc w:val="left"/>
        <w:rPr>
          <w:i/>
          <w:iCs/>
          <w:sz w:val="22"/>
          <w:szCs w:val="22"/>
        </w:rPr>
      </w:pPr>
    </w:p>
    <w:p w14:paraId="728FC8B4" w14:textId="77777777" w:rsidR="00005027" w:rsidRDefault="00005027" w:rsidP="00C11124">
      <w:pPr>
        <w:spacing w:before="0" w:after="0" w:line="240" w:lineRule="auto"/>
        <w:jc w:val="left"/>
        <w:rPr>
          <w:i/>
          <w:iCs/>
          <w:sz w:val="22"/>
          <w:szCs w:val="22"/>
        </w:rPr>
      </w:pPr>
    </w:p>
    <w:p w14:paraId="3992914F" w14:textId="77777777" w:rsidR="00005027" w:rsidRDefault="00005027" w:rsidP="00C11124">
      <w:pPr>
        <w:spacing w:before="0" w:after="0" w:line="240" w:lineRule="auto"/>
        <w:jc w:val="left"/>
        <w:rPr>
          <w:i/>
          <w:iCs/>
          <w:sz w:val="22"/>
          <w:szCs w:val="22"/>
        </w:rPr>
      </w:pPr>
    </w:p>
    <w:p w14:paraId="76D754D1" w14:textId="77777777" w:rsidR="00E5286F" w:rsidRDefault="00E5286F">
      <w:pPr>
        <w:spacing w:before="0" w:after="0" w:line="240" w:lineRule="auto"/>
        <w:jc w:val="left"/>
        <w:rPr>
          <w:i/>
          <w:iCs/>
          <w:sz w:val="22"/>
          <w:szCs w:val="22"/>
        </w:rPr>
      </w:pPr>
      <w:r>
        <w:rPr>
          <w:i/>
          <w:iCs/>
          <w:sz w:val="22"/>
          <w:szCs w:val="22"/>
        </w:rPr>
        <w:lastRenderedPageBreak/>
        <w:br w:type="page"/>
      </w:r>
    </w:p>
    <w:p w14:paraId="356F2F20" w14:textId="6FEB7B88" w:rsidR="00C11124" w:rsidRPr="00857A16" w:rsidRDefault="00C11124" w:rsidP="00C11124">
      <w:pPr>
        <w:spacing w:before="0" w:after="0" w:line="240" w:lineRule="auto"/>
        <w:jc w:val="left"/>
        <w:rPr>
          <w:i/>
          <w:iCs/>
          <w:sz w:val="22"/>
          <w:szCs w:val="22"/>
        </w:rPr>
      </w:pPr>
      <w:r>
        <w:rPr>
          <w:i/>
          <w:iCs/>
          <w:sz w:val="22"/>
          <w:szCs w:val="22"/>
        </w:rPr>
        <w:lastRenderedPageBreak/>
        <w:t xml:space="preserve">Figure </w:t>
      </w:r>
      <w:r>
        <w:rPr>
          <w:i/>
          <w:iCs/>
          <w:sz w:val="22"/>
          <w:szCs w:val="22"/>
        </w:rPr>
        <w:fldChar w:fldCharType="begin"/>
      </w:r>
      <w:r>
        <w:rPr>
          <w:i/>
          <w:iCs/>
          <w:sz w:val="22"/>
          <w:szCs w:val="22"/>
        </w:rPr>
        <w:instrText xml:space="preserve"> SEQ Figure \* ARABIC </w:instrText>
      </w:r>
      <w:r>
        <w:rPr>
          <w:i/>
          <w:iCs/>
          <w:sz w:val="22"/>
          <w:szCs w:val="22"/>
        </w:rPr>
        <w:fldChar w:fldCharType="separate"/>
      </w:r>
      <w:r w:rsidR="00451346">
        <w:rPr>
          <w:i/>
          <w:iCs/>
          <w:noProof/>
          <w:sz w:val="22"/>
          <w:szCs w:val="22"/>
        </w:rPr>
        <w:t>1</w:t>
      </w:r>
      <w:r>
        <w:rPr>
          <w:i/>
          <w:iCs/>
          <w:sz w:val="22"/>
          <w:szCs w:val="22"/>
        </w:rPr>
        <w:fldChar w:fldCharType="end"/>
      </w:r>
      <w:r>
        <w:rPr>
          <w:i/>
          <w:iCs/>
          <w:sz w:val="22"/>
          <w:szCs w:val="22"/>
        </w:rPr>
        <w:t>. Trauma-Responsive Practice</w:t>
      </w:r>
    </w:p>
    <w:p w14:paraId="056F9EC4" w14:textId="77777777" w:rsidR="00C11124" w:rsidRDefault="00C11124" w:rsidP="00C11124">
      <w:pPr>
        <w:spacing w:before="0" w:after="0" w:line="240" w:lineRule="auto"/>
        <w:jc w:val="left"/>
        <w:rPr>
          <w:sz w:val="22"/>
          <w:szCs w:val="22"/>
        </w:rPr>
      </w:pPr>
    </w:p>
    <w:p w14:paraId="262A8B43" w14:textId="77777777" w:rsidR="00C11124" w:rsidRDefault="00C11124" w:rsidP="00C11124">
      <w:pPr>
        <w:spacing w:before="0" w:after="0" w:line="240" w:lineRule="auto"/>
        <w:jc w:val="left"/>
      </w:pPr>
      <w:r>
        <w:rPr>
          <w:noProof/>
        </w:rPr>
        <w:drawing>
          <wp:inline distT="0" distB="0" distL="0" distR="0" wp14:anchorId="492D5CCF" wp14:editId="6C4E5860">
            <wp:extent cx="6210300" cy="3363913"/>
            <wp:effectExtent l="0" t="0" r="0" b="0"/>
            <wp:docPr id="1074804308" name="drawing" title="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04308" name="Picture 1074804308"/>
                    <pic:cNvPicPr/>
                  </pic:nvPicPr>
                  <pic:blipFill>
                    <a:blip r:embed="rId27">
                      <a:extLst>
                        <a:ext uri="{28A0092B-C50C-407E-A947-70E740481C1C}">
                          <a14:useLocalDpi xmlns:a14="http://schemas.microsoft.com/office/drawing/2010/main"/>
                        </a:ext>
                      </a:extLst>
                    </a:blip>
                    <a:stretch>
                      <a:fillRect/>
                    </a:stretch>
                  </pic:blipFill>
                  <pic:spPr>
                    <a:xfrm>
                      <a:off x="0" y="0"/>
                      <a:ext cx="6210300" cy="3363913"/>
                    </a:xfrm>
                    <a:prstGeom prst="rect">
                      <a:avLst/>
                    </a:prstGeom>
                  </pic:spPr>
                </pic:pic>
              </a:graphicData>
            </a:graphic>
          </wp:inline>
        </w:drawing>
      </w:r>
    </w:p>
    <w:p w14:paraId="0D9126B2" w14:textId="77777777" w:rsidR="00C11124" w:rsidRPr="00C23F96" w:rsidRDefault="00C11124" w:rsidP="456BE292">
      <w:pPr>
        <w:pStyle w:val="BodyText1"/>
        <w:rPr>
          <w:sz w:val="24"/>
          <w:szCs w:val="24"/>
        </w:rPr>
      </w:pPr>
    </w:p>
    <w:p w14:paraId="6004E263" w14:textId="77777777" w:rsidR="00C23F96" w:rsidRPr="00C23F96" w:rsidRDefault="00C23F96" w:rsidP="456BE292">
      <w:pPr>
        <w:pStyle w:val="BodyText1"/>
        <w:rPr>
          <w:sz w:val="24"/>
          <w:szCs w:val="24"/>
        </w:rPr>
      </w:pPr>
      <w:r>
        <w:rPr>
          <w:sz w:val="24"/>
          <w:szCs w:val="24"/>
        </w:rPr>
        <w:t>These findings suggest sustained integration of trauma-responsive principles across participating agencies and continued organizational alignment with trauma-informed values.</w:t>
      </w:r>
    </w:p>
    <w:p w14:paraId="22BCF9B7" w14:textId="59E9E6EF" w:rsidR="14B3EFEF" w:rsidRDefault="14B3EFEF" w:rsidP="456BE292">
      <w:pPr>
        <w:pStyle w:val="BodyText1"/>
        <w:rPr>
          <w:sz w:val="24"/>
          <w:szCs w:val="24"/>
        </w:rPr>
      </w:pPr>
      <w:r>
        <w:rPr>
          <w:sz w:val="24"/>
          <w:szCs w:val="24"/>
        </w:rPr>
        <w:t xml:space="preserve">Compared with FY2024, FY2025 findings suggest continued </w:t>
      </w:r>
      <w:proofErr w:type="gramStart"/>
      <w:r w:rsidR="006B662C">
        <w:rPr>
          <w:sz w:val="24"/>
          <w:szCs w:val="24"/>
        </w:rPr>
        <w:t>consistent</w:t>
      </w:r>
      <w:proofErr w:type="gramEnd"/>
      <w:r w:rsidR="006B662C">
        <w:rPr>
          <w:sz w:val="24"/>
          <w:szCs w:val="24"/>
        </w:rPr>
        <w:t xml:space="preserve"> and ongoing</w:t>
      </w:r>
      <w:r>
        <w:rPr>
          <w:sz w:val="24"/>
          <w:szCs w:val="24"/>
        </w:rPr>
        <w:t xml:space="preserve"> in high levels of reported </w:t>
      </w:r>
      <w:r w:rsidR="006B662C">
        <w:rPr>
          <w:sz w:val="24"/>
          <w:szCs w:val="24"/>
        </w:rPr>
        <w:t>frequent use,</w:t>
      </w:r>
      <w:r>
        <w:rPr>
          <w:sz w:val="24"/>
          <w:szCs w:val="24"/>
        </w:rPr>
        <w:t xml:space="preserve"> confidence, training, and organizational support</w:t>
      </w:r>
      <w:r w:rsidR="006B662C">
        <w:rPr>
          <w:sz w:val="24"/>
          <w:szCs w:val="24"/>
        </w:rPr>
        <w:t xml:space="preserve"> of</w:t>
      </w:r>
      <w:r>
        <w:rPr>
          <w:sz w:val="24"/>
          <w:szCs w:val="24"/>
        </w:rPr>
        <w:t xml:space="preserve"> </w:t>
      </w:r>
      <w:r w:rsidR="006B662C">
        <w:rPr>
          <w:sz w:val="24"/>
          <w:szCs w:val="24"/>
        </w:rPr>
        <w:t>trauma-responsive practice</w:t>
      </w:r>
      <w:r>
        <w:rPr>
          <w:sz w:val="24"/>
          <w:szCs w:val="24"/>
        </w:rPr>
        <w:t>. Although the FY2025 report presents these findings in greater detail, the overall pattern remained consistent with FY2024, when most respondents also agreed with all trauma-responsive practice items.</w:t>
      </w:r>
    </w:p>
    <w:p w14:paraId="07E80B92" w14:textId="619B5F79" w:rsidR="00C23F96" w:rsidRPr="00C23F96" w:rsidRDefault="00C23F96" w:rsidP="456BE292">
      <w:pPr>
        <w:pStyle w:val="Heading3"/>
        <w:rPr>
          <w:i/>
          <w:iCs/>
        </w:rPr>
      </w:pPr>
      <w:r>
        <w:rPr>
          <w:i/>
          <w:iCs/>
        </w:rPr>
        <w:t>Evidence-Based Practices</w:t>
      </w:r>
    </w:p>
    <w:p w14:paraId="090FAB07" w14:textId="35CA4A0B" w:rsidR="5043C90E" w:rsidRDefault="5043C90E" w:rsidP="456BE292">
      <w:pPr>
        <w:spacing w:before="0" w:after="240"/>
        <w:jc w:val="left"/>
        <w:rPr>
          <w:sz w:val="24"/>
          <w:szCs w:val="24"/>
        </w:rPr>
      </w:pPr>
      <w:r>
        <w:rPr>
          <w:sz w:val="24"/>
          <w:szCs w:val="24"/>
        </w:rPr>
        <w:t xml:space="preserve">Figure 2 demonstrates responses to the four evidence-based practice questions. In FY2025, </w:t>
      </w:r>
      <w:r w:rsidR="00BB20B9">
        <w:rPr>
          <w:sz w:val="24"/>
          <w:szCs w:val="24"/>
        </w:rPr>
        <w:t>agency</w:t>
      </w:r>
      <w:r>
        <w:rPr>
          <w:sz w:val="24"/>
          <w:szCs w:val="24"/>
        </w:rPr>
        <w:t xml:space="preserve"> support and training </w:t>
      </w:r>
      <w:r w:rsidR="00BB20B9">
        <w:rPr>
          <w:sz w:val="24"/>
          <w:szCs w:val="24"/>
        </w:rPr>
        <w:t>on</w:t>
      </w:r>
      <w:r>
        <w:rPr>
          <w:sz w:val="24"/>
          <w:szCs w:val="24"/>
        </w:rPr>
        <w:t xml:space="preserve"> evidence-based practices remained strong</w:t>
      </w:r>
      <w:r w:rsidR="007F7760">
        <w:rPr>
          <w:sz w:val="24"/>
          <w:szCs w:val="24"/>
        </w:rPr>
        <w:t xml:space="preserve"> compared to those obtained in FY2024</w:t>
      </w:r>
      <w:r>
        <w:rPr>
          <w:sz w:val="24"/>
          <w:szCs w:val="24"/>
        </w:rPr>
        <w:t xml:space="preserve">, with 89% of respondents agreeing or strongly agreeing that they had received adequate training and that their </w:t>
      </w:r>
      <w:r w:rsidR="00674391">
        <w:rPr>
          <w:sz w:val="24"/>
          <w:szCs w:val="24"/>
        </w:rPr>
        <w:t>agency</w:t>
      </w:r>
      <w:r>
        <w:rPr>
          <w:sz w:val="24"/>
          <w:szCs w:val="24"/>
        </w:rPr>
        <w:t xml:space="preserve"> supported the use of evidence-based practices.</w:t>
      </w:r>
    </w:p>
    <w:p w14:paraId="3717D4C3" w14:textId="77777777" w:rsidR="00005027" w:rsidRDefault="00005027" w:rsidP="00C11124">
      <w:pPr>
        <w:pStyle w:val="Caption"/>
        <w:spacing w:before="0" w:after="0"/>
        <w:jc w:val="left"/>
        <w:rPr>
          <w:color w:val="auto"/>
          <w:sz w:val="22"/>
          <w:szCs w:val="22"/>
        </w:rPr>
      </w:pPr>
      <w:bookmarkStart w:id="9" w:name="_Toc192537059"/>
    </w:p>
    <w:p w14:paraId="39866EBA" w14:textId="77777777" w:rsidR="00005027" w:rsidRDefault="00005027" w:rsidP="00C11124">
      <w:pPr>
        <w:pStyle w:val="Caption"/>
        <w:spacing w:before="0" w:after="0"/>
        <w:jc w:val="left"/>
        <w:rPr>
          <w:color w:val="auto"/>
          <w:sz w:val="22"/>
          <w:szCs w:val="22"/>
        </w:rPr>
      </w:pPr>
    </w:p>
    <w:p w14:paraId="7CB36842" w14:textId="77777777" w:rsidR="00005027" w:rsidRDefault="00005027" w:rsidP="00C11124">
      <w:pPr>
        <w:pStyle w:val="Caption"/>
        <w:spacing w:before="0" w:after="0"/>
        <w:jc w:val="left"/>
        <w:rPr>
          <w:color w:val="auto"/>
          <w:sz w:val="22"/>
          <w:szCs w:val="22"/>
        </w:rPr>
      </w:pPr>
    </w:p>
    <w:p w14:paraId="4B7702C1" w14:textId="77777777" w:rsidR="00005027" w:rsidRDefault="00005027" w:rsidP="00C11124">
      <w:pPr>
        <w:pStyle w:val="Caption"/>
        <w:spacing w:before="0" w:after="0"/>
        <w:jc w:val="left"/>
        <w:rPr>
          <w:color w:val="auto"/>
          <w:sz w:val="22"/>
          <w:szCs w:val="22"/>
        </w:rPr>
      </w:pPr>
    </w:p>
    <w:p w14:paraId="45D478D7" w14:textId="77777777" w:rsidR="00005027" w:rsidRDefault="00005027" w:rsidP="00C11124">
      <w:pPr>
        <w:pStyle w:val="Caption"/>
        <w:spacing w:before="0" w:after="0"/>
        <w:jc w:val="left"/>
        <w:rPr>
          <w:color w:val="auto"/>
          <w:sz w:val="22"/>
          <w:szCs w:val="22"/>
        </w:rPr>
      </w:pPr>
    </w:p>
    <w:p w14:paraId="64B40CBF" w14:textId="77777777" w:rsidR="00005027" w:rsidRDefault="00005027" w:rsidP="00C11124">
      <w:pPr>
        <w:pStyle w:val="Caption"/>
        <w:spacing w:before="0" w:after="0"/>
        <w:jc w:val="left"/>
        <w:rPr>
          <w:color w:val="auto"/>
          <w:sz w:val="22"/>
          <w:szCs w:val="22"/>
        </w:rPr>
      </w:pPr>
    </w:p>
    <w:p w14:paraId="162D3A07" w14:textId="77777777" w:rsidR="00005027" w:rsidRDefault="00005027" w:rsidP="00C11124">
      <w:pPr>
        <w:pStyle w:val="Caption"/>
        <w:spacing w:before="0" w:after="0"/>
        <w:jc w:val="left"/>
        <w:rPr>
          <w:color w:val="auto"/>
          <w:sz w:val="22"/>
          <w:szCs w:val="22"/>
        </w:rPr>
      </w:pPr>
    </w:p>
    <w:p w14:paraId="6EC908DB" w14:textId="7F41A34F" w:rsidR="00C11124" w:rsidRPr="005C39B9" w:rsidRDefault="00C11124" w:rsidP="00C11124">
      <w:pPr>
        <w:pStyle w:val="Caption"/>
        <w:spacing w:before="0" w:after="0"/>
        <w:jc w:val="left"/>
        <w:rPr>
          <w:i w:val="0"/>
          <w:iCs w:val="0"/>
          <w:color w:val="auto"/>
          <w:sz w:val="20"/>
          <w:szCs w:val="20"/>
        </w:rPr>
      </w:pPr>
      <w:r>
        <w:rPr>
          <w:color w:val="auto"/>
          <w:sz w:val="22"/>
          <w:szCs w:val="22"/>
        </w:rPr>
        <w:lastRenderedPageBreak/>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sidR="00451346">
        <w:rPr>
          <w:noProof/>
          <w:color w:val="auto"/>
          <w:sz w:val="22"/>
          <w:szCs w:val="22"/>
        </w:rPr>
        <w:t>2</w:t>
      </w:r>
      <w:r>
        <w:rPr>
          <w:color w:val="auto"/>
          <w:sz w:val="22"/>
          <w:szCs w:val="22"/>
        </w:rPr>
        <w:fldChar w:fldCharType="end"/>
      </w:r>
      <w:r>
        <w:rPr>
          <w:color w:val="auto"/>
          <w:sz w:val="22"/>
          <w:szCs w:val="22"/>
        </w:rPr>
        <w:t>. Evidence-Based Practices</w:t>
      </w:r>
      <w:bookmarkEnd w:id="9"/>
    </w:p>
    <w:p w14:paraId="3165B916" w14:textId="77777777" w:rsidR="00C11124" w:rsidRPr="00A53FDC" w:rsidRDefault="00C11124" w:rsidP="00C11124">
      <w:r>
        <w:rPr>
          <w:noProof/>
        </w:rPr>
        <w:drawing>
          <wp:inline distT="0" distB="0" distL="0" distR="0" wp14:anchorId="267A60D4" wp14:editId="3FE164B4">
            <wp:extent cx="6205031" cy="3601135"/>
            <wp:effectExtent l="0" t="0" r="0" b="0"/>
            <wp:docPr id="1288547389" name="drawing" title="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7389" name="Picture 1288547389"/>
                    <pic:cNvPicPr/>
                  </pic:nvPicPr>
                  <pic:blipFill>
                    <a:blip r:embed="rId28">
                      <a:extLst>
                        <a:ext uri="{28A0092B-C50C-407E-A947-70E740481C1C}">
                          <a14:useLocalDpi xmlns:a14="http://schemas.microsoft.com/office/drawing/2010/main"/>
                        </a:ext>
                      </a:extLst>
                    </a:blip>
                    <a:stretch>
                      <a:fillRect/>
                    </a:stretch>
                  </pic:blipFill>
                  <pic:spPr>
                    <a:xfrm>
                      <a:off x="0" y="0"/>
                      <a:ext cx="6205031" cy="3601135"/>
                    </a:xfrm>
                    <a:prstGeom prst="rect">
                      <a:avLst/>
                    </a:prstGeom>
                  </pic:spPr>
                </pic:pic>
              </a:graphicData>
            </a:graphic>
          </wp:inline>
        </w:drawing>
      </w:r>
    </w:p>
    <w:p w14:paraId="4341010B" w14:textId="6451C907" w:rsidR="5043C90E" w:rsidRDefault="002903E1" w:rsidP="456BE292">
      <w:pPr>
        <w:spacing w:before="240" w:after="240"/>
        <w:jc w:val="left"/>
        <w:rPr>
          <w:sz w:val="24"/>
          <w:szCs w:val="24"/>
        </w:rPr>
      </w:pPr>
      <w:r>
        <w:rPr>
          <w:sz w:val="24"/>
          <w:szCs w:val="24"/>
        </w:rPr>
        <w:t>Adequa</w:t>
      </w:r>
      <w:r w:rsidR="008B0EF1">
        <w:rPr>
          <w:sz w:val="24"/>
          <w:szCs w:val="24"/>
        </w:rPr>
        <w:t>te</w:t>
      </w:r>
      <w:r>
        <w:rPr>
          <w:sz w:val="24"/>
          <w:szCs w:val="24"/>
        </w:rPr>
        <w:t xml:space="preserve"> t</w:t>
      </w:r>
      <w:r w:rsidR="5043C90E">
        <w:rPr>
          <w:sz w:val="24"/>
          <w:szCs w:val="24"/>
        </w:rPr>
        <w:t>raining</w:t>
      </w:r>
      <w:r w:rsidR="00782928">
        <w:rPr>
          <w:sz w:val="24"/>
          <w:szCs w:val="24"/>
        </w:rPr>
        <w:t xml:space="preserve"> was reported </w:t>
      </w:r>
      <w:r w:rsidR="000D4281">
        <w:rPr>
          <w:sz w:val="24"/>
          <w:szCs w:val="24"/>
        </w:rPr>
        <w:t>by</w:t>
      </w:r>
      <w:r w:rsidR="5043C90E">
        <w:rPr>
          <w:sz w:val="24"/>
          <w:szCs w:val="24"/>
        </w:rPr>
        <w:t xml:space="preserve"> 70% in FY2024 </w:t>
      </w:r>
      <w:r w:rsidR="000D4281">
        <w:rPr>
          <w:sz w:val="24"/>
          <w:szCs w:val="24"/>
        </w:rPr>
        <w:t>and</w:t>
      </w:r>
      <w:r w:rsidR="5043C90E">
        <w:rPr>
          <w:sz w:val="24"/>
          <w:szCs w:val="24"/>
        </w:rPr>
        <w:t xml:space="preserve"> </w:t>
      </w:r>
      <w:r w:rsidR="008B0EF1">
        <w:rPr>
          <w:sz w:val="24"/>
          <w:szCs w:val="24"/>
        </w:rPr>
        <w:t>61</w:t>
      </w:r>
      <w:r w:rsidR="5043C90E">
        <w:rPr>
          <w:sz w:val="24"/>
          <w:szCs w:val="24"/>
        </w:rPr>
        <w:t>% in FY2025</w:t>
      </w:r>
      <w:r w:rsidR="0001166C">
        <w:rPr>
          <w:sz w:val="24"/>
          <w:szCs w:val="24"/>
        </w:rPr>
        <w:t>. A</w:t>
      </w:r>
      <w:r w:rsidR="00875F6A">
        <w:rPr>
          <w:sz w:val="24"/>
          <w:szCs w:val="24"/>
        </w:rPr>
        <w:t>gency</w:t>
      </w:r>
      <w:r w:rsidR="5043C90E">
        <w:rPr>
          <w:sz w:val="24"/>
          <w:szCs w:val="24"/>
        </w:rPr>
        <w:t xml:space="preserve"> support </w:t>
      </w:r>
      <w:r w:rsidR="0001166C">
        <w:rPr>
          <w:sz w:val="24"/>
          <w:szCs w:val="24"/>
        </w:rPr>
        <w:t xml:space="preserve">for the use of </w:t>
      </w:r>
      <w:r w:rsidR="00071CF6">
        <w:rPr>
          <w:sz w:val="24"/>
          <w:szCs w:val="24"/>
        </w:rPr>
        <w:t>evidence-based</w:t>
      </w:r>
      <w:r w:rsidR="0001166C">
        <w:rPr>
          <w:sz w:val="24"/>
          <w:szCs w:val="24"/>
        </w:rPr>
        <w:t xml:space="preserve"> practices </w:t>
      </w:r>
      <w:r w:rsidR="005D273E">
        <w:rPr>
          <w:sz w:val="24"/>
          <w:szCs w:val="24"/>
        </w:rPr>
        <w:t>was</w:t>
      </w:r>
      <w:r w:rsidR="5043C90E">
        <w:rPr>
          <w:sz w:val="24"/>
          <w:szCs w:val="24"/>
        </w:rPr>
        <w:t xml:space="preserve"> </w:t>
      </w:r>
      <w:r w:rsidR="0018157B">
        <w:rPr>
          <w:sz w:val="24"/>
          <w:szCs w:val="24"/>
        </w:rPr>
        <w:t>at</w:t>
      </w:r>
      <w:r w:rsidR="5043C90E">
        <w:rPr>
          <w:sz w:val="24"/>
          <w:szCs w:val="24"/>
        </w:rPr>
        <w:t xml:space="preserve"> 96%</w:t>
      </w:r>
      <w:r w:rsidR="0018157B">
        <w:rPr>
          <w:sz w:val="24"/>
          <w:szCs w:val="24"/>
        </w:rPr>
        <w:t xml:space="preserve"> in FY2024</w:t>
      </w:r>
      <w:r w:rsidR="005D273E">
        <w:rPr>
          <w:sz w:val="24"/>
          <w:szCs w:val="24"/>
        </w:rPr>
        <w:t>,</w:t>
      </w:r>
      <w:r w:rsidR="5043C90E">
        <w:rPr>
          <w:sz w:val="24"/>
          <w:szCs w:val="24"/>
        </w:rPr>
        <w:t xml:space="preserve"> </w:t>
      </w:r>
      <w:r w:rsidR="0018157B">
        <w:rPr>
          <w:sz w:val="24"/>
          <w:szCs w:val="24"/>
        </w:rPr>
        <w:t>and</w:t>
      </w:r>
      <w:r w:rsidR="5043C90E">
        <w:rPr>
          <w:sz w:val="24"/>
          <w:szCs w:val="24"/>
        </w:rPr>
        <w:t xml:space="preserve"> 89%</w:t>
      </w:r>
      <w:r w:rsidR="0018157B">
        <w:rPr>
          <w:sz w:val="24"/>
          <w:szCs w:val="24"/>
        </w:rPr>
        <w:t xml:space="preserve"> in FY2025</w:t>
      </w:r>
      <w:r w:rsidR="5043C90E">
        <w:rPr>
          <w:sz w:val="24"/>
          <w:szCs w:val="24"/>
        </w:rPr>
        <w:t xml:space="preserve">. </w:t>
      </w:r>
      <w:r w:rsidR="006571CE">
        <w:rPr>
          <w:sz w:val="24"/>
          <w:szCs w:val="24"/>
        </w:rPr>
        <w:t>The</w:t>
      </w:r>
      <w:r w:rsidR="5043C90E">
        <w:rPr>
          <w:sz w:val="24"/>
          <w:szCs w:val="24"/>
        </w:rPr>
        <w:t xml:space="preserve"> proportion of respondents reporting frequent use of evidence-based practices </w:t>
      </w:r>
      <w:r w:rsidR="006571CE">
        <w:rPr>
          <w:sz w:val="24"/>
          <w:szCs w:val="24"/>
        </w:rPr>
        <w:t>was</w:t>
      </w:r>
      <w:r w:rsidR="5043C90E">
        <w:rPr>
          <w:sz w:val="24"/>
          <w:szCs w:val="24"/>
        </w:rPr>
        <w:t xml:space="preserve"> 8</w:t>
      </w:r>
      <w:r w:rsidR="00B7705F">
        <w:rPr>
          <w:sz w:val="24"/>
          <w:szCs w:val="24"/>
        </w:rPr>
        <w:t>9</w:t>
      </w:r>
      <w:r w:rsidR="5043C90E">
        <w:rPr>
          <w:sz w:val="24"/>
          <w:szCs w:val="24"/>
        </w:rPr>
        <w:t>% in FY202</w:t>
      </w:r>
      <w:r w:rsidR="00B7705F">
        <w:rPr>
          <w:sz w:val="24"/>
          <w:szCs w:val="24"/>
        </w:rPr>
        <w:t>5</w:t>
      </w:r>
      <w:r w:rsidR="00A065E8">
        <w:rPr>
          <w:sz w:val="24"/>
          <w:szCs w:val="24"/>
        </w:rPr>
        <w:t>,</w:t>
      </w:r>
      <w:r w:rsidR="5043C90E">
        <w:rPr>
          <w:sz w:val="24"/>
          <w:szCs w:val="24"/>
        </w:rPr>
        <w:t xml:space="preserve"> </w:t>
      </w:r>
      <w:r w:rsidR="006571CE">
        <w:rPr>
          <w:sz w:val="24"/>
          <w:szCs w:val="24"/>
        </w:rPr>
        <w:t>and</w:t>
      </w:r>
      <w:r w:rsidR="5043C90E">
        <w:rPr>
          <w:sz w:val="24"/>
          <w:szCs w:val="24"/>
        </w:rPr>
        <w:t xml:space="preserve"> </w:t>
      </w:r>
      <w:r w:rsidR="008B0EF1">
        <w:rPr>
          <w:sz w:val="24"/>
          <w:szCs w:val="24"/>
        </w:rPr>
        <w:t>c</w:t>
      </w:r>
      <w:r w:rsidR="5043C90E">
        <w:rPr>
          <w:sz w:val="24"/>
          <w:szCs w:val="24"/>
        </w:rPr>
        <w:t xml:space="preserve">onfidence in </w:t>
      </w:r>
      <w:r w:rsidR="00DB2DC1">
        <w:rPr>
          <w:sz w:val="24"/>
          <w:szCs w:val="24"/>
        </w:rPr>
        <w:t>implementing</w:t>
      </w:r>
      <w:r w:rsidR="5043C90E">
        <w:rPr>
          <w:sz w:val="24"/>
          <w:szCs w:val="24"/>
        </w:rPr>
        <w:t xml:space="preserve"> evidence-based practices </w:t>
      </w:r>
      <w:r w:rsidR="00E9677C">
        <w:rPr>
          <w:sz w:val="24"/>
          <w:szCs w:val="24"/>
        </w:rPr>
        <w:t>in FY2025</w:t>
      </w:r>
      <w:r w:rsidR="00AD773E">
        <w:rPr>
          <w:sz w:val="24"/>
          <w:szCs w:val="24"/>
        </w:rPr>
        <w:t xml:space="preserve"> was </w:t>
      </w:r>
      <w:r w:rsidR="003C158E">
        <w:rPr>
          <w:sz w:val="24"/>
          <w:szCs w:val="24"/>
        </w:rPr>
        <w:t>78</w:t>
      </w:r>
      <w:r w:rsidR="00AD773E">
        <w:rPr>
          <w:sz w:val="24"/>
          <w:szCs w:val="24"/>
        </w:rPr>
        <w:t>%</w:t>
      </w:r>
      <w:r w:rsidR="5043C90E">
        <w:rPr>
          <w:sz w:val="24"/>
          <w:szCs w:val="24"/>
        </w:rPr>
        <w:t>.</w:t>
      </w:r>
    </w:p>
    <w:p w14:paraId="72B04E01" w14:textId="3E33D6C5" w:rsidR="5043C90E" w:rsidRPr="00295928" w:rsidRDefault="5043C90E" w:rsidP="456BE292">
      <w:pPr>
        <w:spacing w:before="240" w:after="240"/>
        <w:jc w:val="left"/>
        <w:rPr>
          <w:color w:val="8CE2FF" w:themeColor="accent4" w:themeTint="66"/>
          <w:sz w:val="24"/>
          <w:szCs w:val="24"/>
        </w:rPr>
      </w:pPr>
      <w:r>
        <w:rPr>
          <w:sz w:val="24"/>
          <w:szCs w:val="24"/>
        </w:rPr>
        <w:t xml:space="preserve">Taken together, these findings suggest that </w:t>
      </w:r>
      <w:r w:rsidR="005F5ED4">
        <w:rPr>
          <w:sz w:val="24"/>
          <w:szCs w:val="24"/>
        </w:rPr>
        <w:t>frequen</w:t>
      </w:r>
      <w:r w:rsidR="00B86FBA">
        <w:rPr>
          <w:sz w:val="24"/>
          <w:szCs w:val="24"/>
        </w:rPr>
        <w:t xml:space="preserve">t use of </w:t>
      </w:r>
      <w:r w:rsidR="00071CF6">
        <w:rPr>
          <w:sz w:val="24"/>
          <w:szCs w:val="24"/>
        </w:rPr>
        <w:t>evidence-based</w:t>
      </w:r>
      <w:r w:rsidR="00B86FBA">
        <w:rPr>
          <w:sz w:val="24"/>
          <w:szCs w:val="24"/>
        </w:rPr>
        <w:t xml:space="preserve"> practices, confidence in implementing</w:t>
      </w:r>
      <w:r w:rsidR="00071CF6">
        <w:rPr>
          <w:sz w:val="24"/>
          <w:szCs w:val="24"/>
        </w:rPr>
        <w:t xml:space="preserve"> them,</w:t>
      </w:r>
      <w:r w:rsidR="00B86FBA">
        <w:rPr>
          <w:sz w:val="24"/>
          <w:szCs w:val="24"/>
        </w:rPr>
        <w:t xml:space="preserve"> </w:t>
      </w:r>
      <w:r>
        <w:rPr>
          <w:sz w:val="24"/>
          <w:szCs w:val="24"/>
        </w:rPr>
        <w:t xml:space="preserve">and </w:t>
      </w:r>
      <w:r w:rsidR="00A775BA">
        <w:rPr>
          <w:sz w:val="24"/>
          <w:szCs w:val="24"/>
        </w:rPr>
        <w:t xml:space="preserve">agency </w:t>
      </w:r>
      <w:proofErr w:type="gramStart"/>
      <w:r w:rsidR="00A775BA">
        <w:rPr>
          <w:sz w:val="24"/>
          <w:szCs w:val="24"/>
        </w:rPr>
        <w:t>support</w:t>
      </w:r>
      <w:r w:rsidR="00737442">
        <w:rPr>
          <w:sz w:val="24"/>
          <w:szCs w:val="24"/>
        </w:rPr>
        <w:t>s</w:t>
      </w:r>
      <w:proofErr w:type="gramEnd"/>
      <w:r>
        <w:rPr>
          <w:sz w:val="24"/>
          <w:szCs w:val="24"/>
        </w:rPr>
        <w:t xml:space="preserve"> </w:t>
      </w:r>
      <w:r w:rsidR="00A775BA">
        <w:rPr>
          <w:sz w:val="24"/>
          <w:szCs w:val="24"/>
        </w:rPr>
        <w:t>are reported</w:t>
      </w:r>
      <w:r w:rsidR="0030325F">
        <w:rPr>
          <w:sz w:val="24"/>
          <w:szCs w:val="24"/>
        </w:rPr>
        <w:t xml:space="preserve"> to be</w:t>
      </w:r>
      <w:r w:rsidR="00205041">
        <w:rPr>
          <w:sz w:val="24"/>
          <w:szCs w:val="24"/>
        </w:rPr>
        <w:t xml:space="preserve"> relatively</w:t>
      </w:r>
      <w:r w:rsidR="00A775BA">
        <w:rPr>
          <w:sz w:val="24"/>
          <w:szCs w:val="24"/>
        </w:rPr>
        <w:t xml:space="preserve"> </w:t>
      </w:r>
      <w:r>
        <w:rPr>
          <w:sz w:val="24"/>
          <w:szCs w:val="24"/>
        </w:rPr>
        <w:t>strong</w:t>
      </w:r>
      <w:r w:rsidR="00470BB5">
        <w:rPr>
          <w:sz w:val="24"/>
          <w:szCs w:val="24"/>
        </w:rPr>
        <w:t>.</w:t>
      </w:r>
      <w:r>
        <w:rPr>
          <w:sz w:val="24"/>
          <w:szCs w:val="24"/>
        </w:rPr>
        <w:t xml:space="preserve"> </w:t>
      </w:r>
      <w:r w:rsidR="00737442">
        <w:rPr>
          <w:sz w:val="24"/>
          <w:szCs w:val="24"/>
        </w:rPr>
        <w:t>The lowest percentage of agree and strongly agree (61%) was for training on</w:t>
      </w:r>
      <w:r>
        <w:rPr>
          <w:sz w:val="24"/>
          <w:szCs w:val="24"/>
        </w:rPr>
        <w:t xml:space="preserve"> evidence-based practices. </w:t>
      </w:r>
      <w:r w:rsidR="00DF4FAE">
        <w:rPr>
          <w:sz w:val="24"/>
          <w:szCs w:val="24"/>
        </w:rPr>
        <w:t xml:space="preserve">Access to training </w:t>
      </w:r>
      <w:r>
        <w:rPr>
          <w:sz w:val="24"/>
          <w:szCs w:val="24"/>
        </w:rPr>
        <w:t xml:space="preserve">may be constrained by factors such as </w:t>
      </w:r>
      <w:r w:rsidR="00DF4FAE">
        <w:rPr>
          <w:sz w:val="24"/>
          <w:szCs w:val="24"/>
        </w:rPr>
        <w:t xml:space="preserve">available agency </w:t>
      </w:r>
      <w:r>
        <w:rPr>
          <w:sz w:val="24"/>
          <w:szCs w:val="24"/>
        </w:rPr>
        <w:t>resources</w:t>
      </w:r>
      <w:r w:rsidR="00DF4FAE">
        <w:rPr>
          <w:sz w:val="24"/>
          <w:szCs w:val="24"/>
        </w:rPr>
        <w:t xml:space="preserve"> and capacity to support training, </w:t>
      </w:r>
      <w:r>
        <w:rPr>
          <w:sz w:val="24"/>
          <w:szCs w:val="24"/>
        </w:rPr>
        <w:t>workforce strain, and case</w:t>
      </w:r>
      <w:r w:rsidR="00F3160E">
        <w:rPr>
          <w:sz w:val="24"/>
          <w:szCs w:val="24"/>
        </w:rPr>
        <w:t>load and</w:t>
      </w:r>
      <w:r>
        <w:rPr>
          <w:sz w:val="24"/>
          <w:szCs w:val="24"/>
        </w:rPr>
        <w:t xml:space="preserve"> complexity (</w:t>
      </w:r>
      <w:hyperlink r:id="rId29" w:history="1">
        <w:r w:rsidR="00A474EF" w:rsidRPr="00295928">
          <w:rPr>
            <w:rStyle w:val="Hyperlink"/>
            <w:b w:val="0"/>
            <w:bCs/>
            <w:color w:val="auto"/>
            <w:sz w:val="24"/>
            <w:szCs w:val="24"/>
          </w:rPr>
          <w:t>Connell</w:t>
        </w:r>
        <w:r w:rsidRPr="00295928">
          <w:rPr>
            <w:rStyle w:val="Hyperlink"/>
            <w:b w:val="0"/>
            <w:bCs/>
            <w:color w:val="auto"/>
            <w:sz w:val="24"/>
            <w:szCs w:val="24"/>
          </w:rPr>
          <w:t xml:space="preserve"> et al., 2016</w:t>
        </w:r>
      </w:hyperlink>
      <w:r w:rsidRPr="00295928">
        <w:rPr>
          <w:sz w:val="24"/>
          <w:szCs w:val="24"/>
        </w:rPr>
        <w:t>).</w:t>
      </w:r>
    </w:p>
    <w:p w14:paraId="3AEA81C8" w14:textId="43EF4511" w:rsidR="456BE292" w:rsidRDefault="456BE292" w:rsidP="456BE292">
      <w:pPr>
        <w:pStyle w:val="BodyText1"/>
        <w:rPr>
          <w:sz w:val="24"/>
          <w:szCs w:val="24"/>
        </w:rPr>
      </w:pPr>
    </w:p>
    <w:p w14:paraId="76FCE36A" w14:textId="726F1FC6" w:rsidR="006A5E0B" w:rsidRPr="00EC7084" w:rsidRDefault="006A5E0B" w:rsidP="0030737F">
      <w:pPr>
        <w:pStyle w:val="BodyText1"/>
        <w:rPr>
          <w:sz w:val="22"/>
          <w:szCs w:val="22"/>
        </w:rPr>
      </w:pPr>
    </w:p>
    <w:p w14:paraId="383A7F55" w14:textId="036641E7" w:rsidR="00FC6E08" w:rsidRDefault="001C6595" w:rsidP="00C11124">
      <w:pPr>
        <w:spacing w:before="0" w:after="0" w:line="240" w:lineRule="auto"/>
        <w:jc w:val="left"/>
      </w:pPr>
      <w:r>
        <w:rPr>
          <w:i/>
          <w:iCs/>
        </w:rPr>
        <w:br w:type="page"/>
      </w:r>
    </w:p>
    <w:p w14:paraId="708A6BB4" w14:textId="36E83EA2" w:rsidR="456BE292" w:rsidRDefault="456BE292" w:rsidP="456BE292">
      <w:pPr>
        <w:pStyle w:val="Caption"/>
        <w:spacing w:before="0" w:after="0"/>
        <w:jc w:val="left"/>
        <w:rPr>
          <w:i w:val="0"/>
          <w:iCs w:val="0"/>
          <w:color w:val="auto"/>
          <w:sz w:val="22"/>
          <w:szCs w:val="22"/>
        </w:rPr>
      </w:pPr>
    </w:p>
    <w:p w14:paraId="11B9250E" w14:textId="77777777" w:rsidR="00C23F96" w:rsidRPr="00C23F96" w:rsidRDefault="00C23F96" w:rsidP="00C23F96">
      <w:pPr>
        <w:jc w:val="left"/>
        <w:rPr>
          <w:rFonts w:asciiTheme="minorHAnsi" w:hAnsiTheme="minorHAnsi"/>
          <w:b/>
          <w:bCs/>
          <w:i/>
          <w:iCs/>
          <w:color w:val="000000" w:themeColor="text1"/>
          <w:sz w:val="24"/>
          <w:szCs w:val="24"/>
        </w:rPr>
      </w:pPr>
      <w:r>
        <w:rPr>
          <w:rFonts w:asciiTheme="minorHAnsi" w:hAnsiTheme="minorHAnsi"/>
          <w:b/>
          <w:bCs/>
          <w:i/>
          <w:iCs/>
          <w:color w:val="000000" w:themeColor="text1"/>
          <w:sz w:val="24"/>
          <w:szCs w:val="24"/>
        </w:rPr>
        <w:t>What barriers and facilitators do ITCP professionals encounter when implementing trauma-responsive and evidence-based practices?</w:t>
      </w:r>
    </w:p>
    <w:p w14:paraId="31C60696" w14:textId="21C621A1" w:rsidR="00C23F96" w:rsidRPr="00CB4DA3" w:rsidRDefault="00C23F96" w:rsidP="267335E4">
      <w:pPr>
        <w:jc w:val="left"/>
        <w:rPr>
          <w:sz w:val="24"/>
          <w:szCs w:val="24"/>
        </w:rPr>
      </w:pPr>
      <w:r>
        <w:rPr>
          <w:sz w:val="24"/>
          <w:szCs w:val="24"/>
        </w:rPr>
        <w:t xml:space="preserve">Respondents were asked about the extent to which they encounter barriers when implementing trauma-responsive and evidence-based practices and whether sufficient resources are available to support implementation (Figure 3). </w:t>
      </w:r>
      <w:r w:rsidR="0040379D">
        <w:rPr>
          <w:sz w:val="24"/>
          <w:szCs w:val="24"/>
        </w:rPr>
        <w:t>Nearly</w:t>
      </w:r>
      <w:r>
        <w:rPr>
          <w:sz w:val="24"/>
          <w:szCs w:val="24"/>
        </w:rPr>
        <w:t xml:space="preserve"> 40% of respondents agreed or strongly agreed with both statements.  </w:t>
      </w:r>
    </w:p>
    <w:p w14:paraId="61775452" w14:textId="26477802" w:rsidR="00C23F96" w:rsidRPr="00CB4DA3" w:rsidRDefault="00C23F96" w:rsidP="267335E4">
      <w:pPr>
        <w:pStyle w:val="Caption"/>
        <w:jc w:val="left"/>
        <w:rPr>
          <w:i w:val="0"/>
          <w:iCs w:val="0"/>
          <w:color w:val="000000" w:themeColor="accent2"/>
          <w:sz w:val="32"/>
          <w:szCs w:val="32"/>
        </w:rPr>
      </w:pPr>
      <w:r>
        <w:rPr>
          <w:color w:val="000000" w:themeColor="accent2"/>
          <w:sz w:val="22"/>
          <w:szCs w:val="22"/>
        </w:rPr>
        <w:t xml:space="preserve">Figure </w:t>
      </w:r>
      <w:r>
        <w:rPr>
          <w:color w:val="000000" w:themeColor="accent2"/>
          <w:sz w:val="22"/>
          <w:szCs w:val="22"/>
        </w:rPr>
        <w:fldChar w:fldCharType="begin"/>
      </w:r>
      <w:r>
        <w:rPr>
          <w:color w:val="000000" w:themeColor="accent2"/>
          <w:sz w:val="22"/>
          <w:szCs w:val="22"/>
        </w:rPr>
        <w:instrText xml:space="preserve"> SEQ Figure \* ARABIC </w:instrText>
      </w:r>
      <w:r>
        <w:rPr>
          <w:color w:val="000000" w:themeColor="accent2"/>
          <w:sz w:val="22"/>
          <w:szCs w:val="22"/>
        </w:rPr>
        <w:fldChar w:fldCharType="separate"/>
      </w:r>
      <w:r w:rsidR="00451346">
        <w:rPr>
          <w:noProof/>
          <w:color w:val="000000" w:themeColor="accent2"/>
          <w:sz w:val="22"/>
          <w:szCs w:val="22"/>
        </w:rPr>
        <w:t>3</w:t>
      </w:r>
      <w:r>
        <w:rPr>
          <w:color w:val="000000" w:themeColor="accent2"/>
          <w:sz w:val="22"/>
          <w:szCs w:val="22"/>
        </w:rPr>
        <w:fldChar w:fldCharType="end"/>
      </w:r>
      <w:r>
        <w:rPr>
          <w:color w:val="000000" w:themeColor="accent2"/>
          <w:sz w:val="22"/>
          <w:szCs w:val="22"/>
        </w:rPr>
        <w:t>. I encounter barriers when trying to implement…</w:t>
      </w:r>
    </w:p>
    <w:p w14:paraId="439EBD3A" w14:textId="0AA3DDDA" w:rsidR="00C23F96" w:rsidRPr="00CB4DA3" w:rsidRDefault="00C23F96" w:rsidP="267335E4">
      <w:pPr>
        <w:jc w:val="left"/>
        <w:rPr>
          <w:sz w:val="24"/>
          <w:szCs w:val="24"/>
        </w:rPr>
      </w:pPr>
      <w:r>
        <w:rPr>
          <w:noProof/>
        </w:rPr>
        <w:drawing>
          <wp:anchor distT="0" distB="0" distL="114300" distR="114300" simplePos="0" relativeHeight="251658240" behindDoc="0" locked="0" layoutInCell="1" allowOverlap="1" wp14:anchorId="79F983C4" wp14:editId="01C07AD9">
            <wp:simplePos x="0" y="0"/>
            <wp:positionH relativeFrom="column">
              <wp:align>left</wp:align>
            </wp:positionH>
            <wp:positionV relativeFrom="paragraph">
              <wp:posOffset>0</wp:posOffset>
            </wp:positionV>
            <wp:extent cx="5619824" cy="3331512"/>
            <wp:effectExtent l="0" t="0" r="0" b="2540"/>
            <wp:wrapTopAndBottom/>
            <wp:docPr id="312529351" name="drawing" title="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395" name="Picture 188774395"/>
                    <pic:cNvPicPr/>
                  </pic:nvPicPr>
                  <pic:blipFill>
                    <a:blip r:embed="rId30">
                      <a:extLst>
                        <a:ext uri="{28A0092B-C50C-407E-A947-70E740481C1C}">
                          <a14:useLocalDpi xmlns:a14="http://schemas.microsoft.com/office/drawing/2010/main"/>
                        </a:ext>
                      </a:extLst>
                    </a:blip>
                    <a:stretch>
                      <a:fillRect/>
                    </a:stretch>
                  </pic:blipFill>
                  <pic:spPr>
                    <a:xfrm>
                      <a:off x="0" y="0"/>
                      <a:ext cx="5619824" cy="3331512"/>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3BCE2D51" w14:textId="270D2C40" w:rsidR="00C23F96" w:rsidRPr="00C23F96" w:rsidRDefault="00C23F96" w:rsidP="00C23F96">
      <w:pPr>
        <w:jc w:val="left"/>
        <w:rPr>
          <w:sz w:val="24"/>
          <w:szCs w:val="24"/>
        </w:rPr>
      </w:pPr>
      <w:r>
        <w:rPr>
          <w:sz w:val="24"/>
          <w:szCs w:val="24"/>
        </w:rPr>
        <w:t xml:space="preserve">Responses regarding barriers were mixed. Some respondents reported encountering barriers when attempting to implement trauma-responsive and evidence-based approaches, while others indicated </w:t>
      </w:r>
      <w:r w:rsidR="00FB125C">
        <w:rPr>
          <w:sz w:val="24"/>
          <w:szCs w:val="24"/>
        </w:rPr>
        <w:t xml:space="preserve">they encountered </w:t>
      </w:r>
      <w:r>
        <w:rPr>
          <w:sz w:val="24"/>
          <w:szCs w:val="24"/>
        </w:rPr>
        <w:t>few challenges. This variability reflects differences in professional role</w:t>
      </w:r>
      <w:r w:rsidR="00FB125C">
        <w:rPr>
          <w:sz w:val="24"/>
          <w:szCs w:val="24"/>
        </w:rPr>
        <w:t>s</w:t>
      </w:r>
      <w:r>
        <w:rPr>
          <w:sz w:val="24"/>
          <w:szCs w:val="24"/>
        </w:rPr>
        <w:t xml:space="preserve">, service availability, and case complexity </w:t>
      </w:r>
      <w:r w:rsidR="00FB125C">
        <w:rPr>
          <w:sz w:val="24"/>
          <w:szCs w:val="24"/>
        </w:rPr>
        <w:t>among</w:t>
      </w:r>
      <w:r>
        <w:rPr>
          <w:sz w:val="24"/>
          <w:szCs w:val="24"/>
        </w:rPr>
        <w:t xml:space="preserve"> agencies.</w:t>
      </w:r>
    </w:p>
    <w:p w14:paraId="4CB38626" w14:textId="5E4E0C52" w:rsidR="58D5A05E" w:rsidRDefault="58D5A05E" w:rsidP="72903398">
      <w:pPr>
        <w:jc w:val="left"/>
        <w:rPr>
          <w:sz w:val="24"/>
          <w:szCs w:val="24"/>
        </w:rPr>
      </w:pPr>
      <w:r>
        <w:rPr>
          <w:sz w:val="24"/>
          <w:szCs w:val="24"/>
        </w:rPr>
        <w:t xml:space="preserve">When asked whether they believe there are sufficient resources available to implement trauma-responsive practices, most respondents </w:t>
      </w:r>
      <w:r w:rsidR="00FB125C">
        <w:rPr>
          <w:sz w:val="24"/>
          <w:szCs w:val="24"/>
        </w:rPr>
        <w:t>indicated “</w:t>
      </w:r>
      <w:r>
        <w:rPr>
          <w:sz w:val="24"/>
          <w:szCs w:val="24"/>
        </w:rPr>
        <w:t>yes</w:t>
      </w:r>
      <w:r w:rsidR="00FB125C">
        <w:rPr>
          <w:sz w:val="24"/>
          <w:szCs w:val="24"/>
        </w:rPr>
        <w:t>”</w:t>
      </w:r>
      <w:r>
        <w:rPr>
          <w:sz w:val="24"/>
          <w:szCs w:val="24"/>
        </w:rPr>
        <w:t xml:space="preserve"> (n=14, 78%). </w:t>
      </w:r>
      <w:r w:rsidR="00FB125C">
        <w:rPr>
          <w:sz w:val="24"/>
          <w:szCs w:val="24"/>
        </w:rPr>
        <w:t>Fifty percent</w:t>
      </w:r>
      <w:r>
        <w:rPr>
          <w:sz w:val="24"/>
          <w:szCs w:val="24"/>
        </w:rPr>
        <w:t xml:space="preserve"> </w:t>
      </w:r>
      <w:r w:rsidR="00C22B5B">
        <w:rPr>
          <w:sz w:val="24"/>
          <w:szCs w:val="24"/>
        </w:rPr>
        <w:t>(</w:t>
      </w:r>
      <w:r>
        <w:rPr>
          <w:sz w:val="24"/>
          <w:szCs w:val="24"/>
        </w:rPr>
        <w:t>50%</w:t>
      </w:r>
      <w:r w:rsidR="00C22B5B">
        <w:rPr>
          <w:sz w:val="24"/>
          <w:szCs w:val="24"/>
        </w:rPr>
        <w:t xml:space="preserve">, </w:t>
      </w:r>
      <w:r>
        <w:rPr>
          <w:sz w:val="24"/>
          <w:szCs w:val="24"/>
        </w:rPr>
        <w:t xml:space="preserve">n=9) of respondents </w:t>
      </w:r>
      <w:r w:rsidR="00C22B5B">
        <w:rPr>
          <w:sz w:val="24"/>
          <w:szCs w:val="24"/>
        </w:rPr>
        <w:t>reported</w:t>
      </w:r>
      <w:r>
        <w:rPr>
          <w:sz w:val="24"/>
          <w:szCs w:val="24"/>
        </w:rPr>
        <w:t xml:space="preserve"> that there are sufficient resources available to implement evidence-based practices, as </w:t>
      </w:r>
      <w:r w:rsidR="00C22B5B">
        <w:rPr>
          <w:sz w:val="24"/>
          <w:szCs w:val="24"/>
        </w:rPr>
        <w:t>presented</w:t>
      </w:r>
      <w:r>
        <w:rPr>
          <w:sz w:val="24"/>
          <w:szCs w:val="24"/>
        </w:rPr>
        <w:t xml:space="preserve"> in Figure 4</w:t>
      </w:r>
      <w:r w:rsidR="00C22B5B">
        <w:rPr>
          <w:sz w:val="24"/>
          <w:szCs w:val="24"/>
        </w:rPr>
        <w:t>, below</w:t>
      </w:r>
      <w:r>
        <w:rPr>
          <w:sz w:val="24"/>
          <w:szCs w:val="24"/>
        </w:rPr>
        <w:t xml:space="preserve">.  </w:t>
      </w:r>
    </w:p>
    <w:p w14:paraId="42DB5173" w14:textId="58A86A42" w:rsidR="3BE105D6" w:rsidRDefault="3BE105D6" w:rsidP="456BE292">
      <w:pPr>
        <w:jc w:val="left"/>
      </w:pPr>
      <w:r>
        <w:rPr>
          <w:rFonts w:eastAsia="Roboto" w:cs="Roboto"/>
          <w:sz w:val="24"/>
          <w:szCs w:val="24"/>
        </w:rPr>
        <w:t xml:space="preserve">Compared </w:t>
      </w:r>
      <w:r w:rsidR="00C22B5B">
        <w:rPr>
          <w:rFonts w:eastAsia="Roboto" w:cs="Roboto"/>
          <w:sz w:val="24"/>
          <w:szCs w:val="24"/>
        </w:rPr>
        <w:t>to</w:t>
      </w:r>
      <w:r>
        <w:rPr>
          <w:rFonts w:eastAsia="Roboto" w:cs="Roboto"/>
          <w:sz w:val="24"/>
          <w:szCs w:val="24"/>
        </w:rPr>
        <w:t xml:space="preserve"> FY2024, perceptions of resource sufficiency </w:t>
      </w:r>
      <w:proofErr w:type="gramStart"/>
      <w:r w:rsidR="00C22B5B">
        <w:rPr>
          <w:rFonts w:eastAsia="Roboto" w:cs="Roboto"/>
          <w:sz w:val="24"/>
          <w:szCs w:val="24"/>
        </w:rPr>
        <w:t>was</w:t>
      </w:r>
      <w:proofErr w:type="gramEnd"/>
      <w:r w:rsidR="00C22B5B">
        <w:rPr>
          <w:rFonts w:eastAsia="Roboto" w:cs="Roboto"/>
          <w:sz w:val="24"/>
          <w:szCs w:val="24"/>
        </w:rPr>
        <w:t xml:space="preserve"> greater</w:t>
      </w:r>
      <w:r>
        <w:rPr>
          <w:rFonts w:eastAsia="Roboto" w:cs="Roboto"/>
          <w:sz w:val="24"/>
          <w:szCs w:val="24"/>
        </w:rPr>
        <w:t xml:space="preserve"> in</w:t>
      </w:r>
      <w:r w:rsidR="00295928">
        <w:rPr>
          <w:rFonts w:eastAsia="Roboto" w:cs="Roboto"/>
          <w:sz w:val="24"/>
          <w:szCs w:val="24"/>
        </w:rPr>
        <w:t xml:space="preserve"> </w:t>
      </w:r>
      <w:proofErr w:type="gramStart"/>
      <w:r w:rsidR="00295928">
        <w:rPr>
          <w:rFonts w:eastAsia="Roboto" w:cs="Roboto"/>
          <w:sz w:val="24"/>
          <w:szCs w:val="24"/>
        </w:rPr>
        <w:t xml:space="preserve">the </w:t>
      </w:r>
      <w:r>
        <w:rPr>
          <w:rFonts w:eastAsia="Roboto" w:cs="Roboto"/>
          <w:sz w:val="24"/>
          <w:szCs w:val="24"/>
        </w:rPr>
        <w:t xml:space="preserve"> FY</w:t>
      </w:r>
      <w:proofErr w:type="gramEnd"/>
      <w:r>
        <w:rPr>
          <w:rFonts w:eastAsia="Roboto" w:cs="Roboto"/>
          <w:sz w:val="24"/>
          <w:szCs w:val="24"/>
        </w:rPr>
        <w:t>2025</w:t>
      </w:r>
      <w:r w:rsidR="00295928">
        <w:rPr>
          <w:rFonts w:eastAsia="Roboto" w:cs="Roboto"/>
          <w:sz w:val="24"/>
          <w:szCs w:val="24"/>
        </w:rPr>
        <w:t xml:space="preserve"> sample</w:t>
      </w:r>
      <w:r>
        <w:rPr>
          <w:rFonts w:eastAsia="Roboto" w:cs="Roboto"/>
          <w:sz w:val="24"/>
          <w:szCs w:val="24"/>
        </w:rPr>
        <w:t>. The proportion of respondents who reported sufficient resources for trauma-responsive practices</w:t>
      </w:r>
      <w:r w:rsidR="00295928">
        <w:rPr>
          <w:rFonts w:eastAsia="Roboto" w:cs="Roboto"/>
          <w:sz w:val="24"/>
          <w:szCs w:val="24"/>
        </w:rPr>
        <w:t xml:space="preserve"> (see Figure 4)</w:t>
      </w:r>
      <w:r>
        <w:rPr>
          <w:rFonts w:eastAsia="Roboto" w:cs="Roboto"/>
          <w:sz w:val="24"/>
          <w:szCs w:val="24"/>
        </w:rPr>
        <w:t xml:space="preserve"> </w:t>
      </w:r>
      <w:r w:rsidR="00C22B5B">
        <w:rPr>
          <w:rFonts w:eastAsia="Roboto" w:cs="Roboto"/>
          <w:sz w:val="24"/>
          <w:szCs w:val="24"/>
        </w:rPr>
        <w:t>was</w:t>
      </w:r>
      <w:r>
        <w:rPr>
          <w:rFonts w:eastAsia="Roboto" w:cs="Roboto"/>
          <w:sz w:val="24"/>
          <w:szCs w:val="24"/>
        </w:rPr>
        <w:t xml:space="preserve"> 57%</w:t>
      </w:r>
      <w:r w:rsidR="00C22B5B">
        <w:rPr>
          <w:rFonts w:eastAsia="Roboto" w:cs="Roboto"/>
          <w:sz w:val="24"/>
          <w:szCs w:val="24"/>
        </w:rPr>
        <w:t xml:space="preserve"> in FY2024 compared</w:t>
      </w:r>
      <w:r>
        <w:rPr>
          <w:rFonts w:eastAsia="Roboto" w:cs="Roboto"/>
          <w:sz w:val="24"/>
          <w:szCs w:val="24"/>
        </w:rPr>
        <w:t xml:space="preserve"> to 78%</w:t>
      </w:r>
      <w:r w:rsidR="00C22B5B">
        <w:rPr>
          <w:rFonts w:eastAsia="Roboto" w:cs="Roboto"/>
          <w:sz w:val="24"/>
          <w:szCs w:val="24"/>
        </w:rPr>
        <w:t xml:space="preserve"> in FY2025. T</w:t>
      </w:r>
      <w:r>
        <w:rPr>
          <w:rFonts w:eastAsia="Roboto" w:cs="Roboto"/>
          <w:sz w:val="24"/>
          <w:szCs w:val="24"/>
        </w:rPr>
        <w:t xml:space="preserve">he proportion reporting sufficient resources for evidence-based practices </w:t>
      </w:r>
      <w:r w:rsidR="00C22B5B">
        <w:rPr>
          <w:rFonts w:eastAsia="Roboto" w:cs="Roboto"/>
          <w:sz w:val="24"/>
          <w:szCs w:val="24"/>
        </w:rPr>
        <w:t>was</w:t>
      </w:r>
      <w:r>
        <w:rPr>
          <w:rFonts w:eastAsia="Roboto" w:cs="Roboto"/>
          <w:sz w:val="24"/>
          <w:szCs w:val="24"/>
        </w:rPr>
        <w:t xml:space="preserve"> 39%</w:t>
      </w:r>
      <w:r w:rsidR="00C22B5B">
        <w:rPr>
          <w:rFonts w:eastAsia="Roboto" w:cs="Roboto"/>
          <w:sz w:val="24"/>
          <w:szCs w:val="24"/>
        </w:rPr>
        <w:t xml:space="preserve"> in FY2024 </w:t>
      </w:r>
      <w:r w:rsidR="0006592A">
        <w:rPr>
          <w:rFonts w:eastAsia="Roboto" w:cs="Roboto"/>
          <w:sz w:val="24"/>
          <w:szCs w:val="24"/>
        </w:rPr>
        <w:t>compared to</w:t>
      </w:r>
      <w:r>
        <w:rPr>
          <w:rFonts w:eastAsia="Roboto" w:cs="Roboto"/>
          <w:sz w:val="24"/>
          <w:szCs w:val="24"/>
        </w:rPr>
        <w:t xml:space="preserve"> </w:t>
      </w:r>
      <w:r>
        <w:rPr>
          <w:rFonts w:eastAsia="Roboto" w:cs="Roboto"/>
          <w:sz w:val="24"/>
          <w:szCs w:val="24"/>
        </w:rPr>
        <w:lastRenderedPageBreak/>
        <w:t>50%</w:t>
      </w:r>
      <w:r w:rsidR="0006592A">
        <w:rPr>
          <w:rFonts w:eastAsia="Roboto" w:cs="Roboto"/>
          <w:sz w:val="24"/>
          <w:szCs w:val="24"/>
        </w:rPr>
        <w:t xml:space="preserve"> in FY2025</w:t>
      </w:r>
      <w:r>
        <w:rPr>
          <w:rFonts w:eastAsia="Roboto" w:cs="Roboto"/>
          <w:sz w:val="24"/>
          <w:szCs w:val="24"/>
        </w:rPr>
        <w:t xml:space="preserve">. Despite this </w:t>
      </w:r>
      <w:r w:rsidR="0006592A">
        <w:rPr>
          <w:rFonts w:eastAsia="Roboto" w:cs="Roboto"/>
          <w:sz w:val="24"/>
          <w:szCs w:val="24"/>
        </w:rPr>
        <w:t>difference</w:t>
      </w:r>
      <w:r>
        <w:rPr>
          <w:rFonts w:eastAsia="Roboto" w:cs="Roboto"/>
          <w:sz w:val="24"/>
          <w:szCs w:val="24"/>
        </w:rPr>
        <w:t xml:space="preserve">, only half of respondents in FY2025 </w:t>
      </w:r>
      <w:r w:rsidR="0006592A">
        <w:rPr>
          <w:rFonts w:eastAsia="Roboto" w:cs="Roboto"/>
          <w:sz w:val="24"/>
          <w:szCs w:val="24"/>
        </w:rPr>
        <w:t>reported</w:t>
      </w:r>
      <w:r>
        <w:rPr>
          <w:rFonts w:eastAsia="Roboto" w:cs="Roboto"/>
          <w:sz w:val="24"/>
          <w:szCs w:val="24"/>
        </w:rPr>
        <w:t xml:space="preserve"> that sufficient resources were available to implement evidence-based practices suggesting that resource constraints </w:t>
      </w:r>
      <w:r w:rsidR="00295928">
        <w:rPr>
          <w:rFonts w:eastAsia="Roboto" w:cs="Roboto"/>
          <w:sz w:val="24"/>
          <w:szCs w:val="24"/>
        </w:rPr>
        <w:t>represent a</w:t>
      </w:r>
      <w:r>
        <w:rPr>
          <w:rFonts w:eastAsia="Roboto" w:cs="Roboto"/>
          <w:sz w:val="24"/>
          <w:szCs w:val="24"/>
        </w:rPr>
        <w:t xml:space="preserve"> meaningful barrier.</w:t>
      </w:r>
    </w:p>
    <w:p w14:paraId="7BABE702" w14:textId="4AF1D314" w:rsidR="00974279" w:rsidRPr="004F7C20" w:rsidRDefault="00C23F96" w:rsidP="004F7C20">
      <w:pPr>
        <w:jc w:val="left"/>
        <w:rPr>
          <w:sz w:val="24"/>
          <w:szCs w:val="24"/>
        </w:rPr>
      </w:pPr>
      <w:r>
        <w:rPr>
          <w:sz w:val="24"/>
          <w:szCs w:val="24"/>
        </w:rPr>
        <w:t xml:space="preserve">These findings </w:t>
      </w:r>
      <w:r w:rsidR="00295928">
        <w:rPr>
          <w:sz w:val="24"/>
          <w:szCs w:val="24"/>
        </w:rPr>
        <w:t xml:space="preserve">also </w:t>
      </w:r>
      <w:r>
        <w:rPr>
          <w:sz w:val="24"/>
          <w:szCs w:val="24"/>
        </w:rPr>
        <w:t xml:space="preserve">suggest that while knowledge, training, and organizational support for trauma-responsive and evidence-based practices </w:t>
      </w:r>
      <w:r w:rsidR="00295928">
        <w:rPr>
          <w:sz w:val="24"/>
          <w:szCs w:val="24"/>
        </w:rPr>
        <w:t>is</w:t>
      </w:r>
      <w:r>
        <w:rPr>
          <w:sz w:val="24"/>
          <w:szCs w:val="24"/>
        </w:rPr>
        <w:t xml:space="preserve"> strong, structural constraints—such as provider shortages, workforce turnover, time demands, and case complexity—may limit consistent implementation.</w:t>
      </w:r>
    </w:p>
    <w:p w14:paraId="15DEDA03" w14:textId="42184D69" w:rsidR="00BE34FA" w:rsidRPr="002C52F9" w:rsidRDefault="000E206D" w:rsidP="0030737F">
      <w:pPr>
        <w:pStyle w:val="Caption"/>
        <w:jc w:val="left"/>
        <w:rPr>
          <w:color w:val="000000" w:themeColor="text1"/>
          <w:sz w:val="32"/>
          <w:szCs w:val="32"/>
        </w:rPr>
      </w:pPr>
      <w:bookmarkStart w:id="10" w:name="_Toc192537061"/>
      <w:r>
        <w:rPr>
          <w:color w:val="000000" w:themeColor="accent2"/>
          <w:sz w:val="22"/>
          <w:szCs w:val="22"/>
        </w:rPr>
        <w:t xml:space="preserve">Figure </w:t>
      </w:r>
      <w:r>
        <w:rPr>
          <w:color w:val="000000" w:themeColor="accent2"/>
          <w:sz w:val="22"/>
          <w:szCs w:val="22"/>
        </w:rPr>
        <w:fldChar w:fldCharType="begin"/>
      </w:r>
      <w:r>
        <w:rPr>
          <w:color w:val="000000" w:themeColor="accent2"/>
          <w:sz w:val="22"/>
          <w:szCs w:val="22"/>
        </w:rPr>
        <w:instrText xml:space="preserve"> SEQ Figure \* ARABIC </w:instrText>
      </w:r>
      <w:r>
        <w:rPr>
          <w:color w:val="000000" w:themeColor="accent2"/>
          <w:sz w:val="22"/>
          <w:szCs w:val="22"/>
        </w:rPr>
        <w:fldChar w:fldCharType="separate"/>
      </w:r>
      <w:r w:rsidR="00451346">
        <w:rPr>
          <w:noProof/>
          <w:color w:val="000000" w:themeColor="accent2"/>
          <w:sz w:val="22"/>
          <w:szCs w:val="22"/>
        </w:rPr>
        <w:t>4</w:t>
      </w:r>
      <w:r>
        <w:rPr>
          <w:color w:val="000000" w:themeColor="accent2"/>
          <w:sz w:val="22"/>
          <w:szCs w:val="22"/>
        </w:rPr>
        <w:fldChar w:fldCharType="end"/>
      </w:r>
      <w:r>
        <w:rPr>
          <w:color w:val="000000" w:themeColor="accent2"/>
          <w:sz w:val="22"/>
          <w:szCs w:val="22"/>
        </w:rPr>
        <w:t>. Do you believe there are sufficient resources available to implement...?</w:t>
      </w:r>
      <w:bookmarkEnd w:id="10"/>
    </w:p>
    <w:p w14:paraId="1CF4A27B" w14:textId="4603DAF3" w:rsidR="000319EA" w:rsidRDefault="000319EA" w:rsidP="456BE292">
      <w:r>
        <w:rPr>
          <w:noProof/>
        </w:rPr>
        <w:drawing>
          <wp:inline distT="0" distB="0" distL="0" distR="0" wp14:anchorId="3E2C1AC0" wp14:editId="75F175EA">
            <wp:extent cx="5828632" cy="3114675"/>
            <wp:effectExtent l="0" t="0" r="0" b="0"/>
            <wp:docPr id="885315470" name="drawing" title="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15470" name="Picture 885315470"/>
                    <pic:cNvPicPr/>
                  </pic:nvPicPr>
                  <pic:blipFill>
                    <a:blip r:embed="rId31">
                      <a:extLst>
                        <a:ext uri="{28A0092B-C50C-407E-A947-70E740481C1C}">
                          <a14:useLocalDpi xmlns:a14="http://schemas.microsoft.com/office/drawing/2010/main"/>
                        </a:ext>
                      </a:extLst>
                    </a:blip>
                    <a:stretch>
                      <a:fillRect/>
                    </a:stretch>
                  </pic:blipFill>
                  <pic:spPr>
                    <a:xfrm>
                      <a:off x="0" y="0"/>
                      <a:ext cx="5828632" cy="3114675"/>
                    </a:xfrm>
                    <a:prstGeom prst="rect">
                      <a:avLst/>
                    </a:prstGeom>
                  </pic:spPr>
                </pic:pic>
              </a:graphicData>
            </a:graphic>
          </wp:inline>
        </w:drawing>
      </w:r>
    </w:p>
    <w:p w14:paraId="2C04C735" w14:textId="7AEE2885" w:rsidR="00A94288" w:rsidRDefault="00A94288" w:rsidP="456BE292">
      <w:pPr>
        <w:pStyle w:val="Heading3"/>
        <w:rPr>
          <w:i/>
          <w:iCs/>
        </w:rPr>
      </w:pPr>
      <w:r>
        <w:rPr>
          <w:i/>
          <w:iCs/>
        </w:rPr>
        <w:t xml:space="preserve">Do ITCP professionals feel that Safe Babies </w:t>
      </w:r>
      <w:proofErr w:type="gramStart"/>
      <w:r>
        <w:rPr>
          <w:i/>
          <w:iCs/>
        </w:rPr>
        <w:t>has</w:t>
      </w:r>
      <w:proofErr w:type="gramEnd"/>
      <w:r>
        <w:rPr>
          <w:i/>
          <w:iCs/>
        </w:rPr>
        <w:t xml:space="preserve"> improved their professional skills?</w:t>
      </w:r>
    </w:p>
    <w:p w14:paraId="6FA3342F" w14:textId="2F8DACD9" w:rsidR="00C23F96" w:rsidRDefault="00C23F96" w:rsidP="456BE292">
      <w:pPr>
        <w:jc w:val="left"/>
        <w:rPr>
          <w:sz w:val="24"/>
          <w:szCs w:val="24"/>
        </w:rPr>
      </w:pPr>
      <w:r>
        <w:rPr>
          <w:sz w:val="24"/>
          <w:szCs w:val="24"/>
        </w:rPr>
        <w:t>Stakeholders were asked whether participation in Safe Babies has improved their professional skills. Almost all respondents (n=17, 94%</w:t>
      </w:r>
      <w:r w:rsidR="004A77DC">
        <w:rPr>
          <w:sz w:val="24"/>
          <w:szCs w:val="24"/>
        </w:rPr>
        <w:t>, see Figure 5, below</w:t>
      </w:r>
      <w:r>
        <w:rPr>
          <w:sz w:val="24"/>
          <w:szCs w:val="24"/>
        </w:rPr>
        <w:t>) reported that involvement in Safe Babies contributed positively to their professional growth and understanding of trauma-responsive and collaborative practices.</w:t>
      </w:r>
      <w:r w:rsidR="00FB45AF">
        <w:rPr>
          <w:sz w:val="24"/>
          <w:szCs w:val="24"/>
        </w:rPr>
        <w:t xml:space="preserve"> </w:t>
      </w:r>
      <w:r w:rsidR="002638A2">
        <w:rPr>
          <w:rFonts w:eastAsia="Roboto" w:cs="Roboto"/>
          <w:sz w:val="24"/>
          <w:szCs w:val="24"/>
        </w:rPr>
        <w:t xml:space="preserve">During FY2024, 61% of respondents reported that Safe Babies had improved their professional skills. </w:t>
      </w:r>
      <w:r w:rsidR="00FB45AF">
        <w:rPr>
          <w:sz w:val="24"/>
          <w:szCs w:val="24"/>
        </w:rPr>
        <w:t xml:space="preserve">Qualitative data </w:t>
      </w:r>
      <w:proofErr w:type="gramStart"/>
      <w:r w:rsidR="00176CBA">
        <w:rPr>
          <w:sz w:val="24"/>
          <w:szCs w:val="24"/>
        </w:rPr>
        <w:t xml:space="preserve">gathered </w:t>
      </w:r>
      <w:r w:rsidR="00FB45AF">
        <w:rPr>
          <w:sz w:val="24"/>
          <w:szCs w:val="24"/>
        </w:rPr>
        <w:t>were</w:t>
      </w:r>
      <w:proofErr w:type="gramEnd"/>
      <w:r w:rsidR="00FB45AF">
        <w:rPr>
          <w:sz w:val="24"/>
          <w:szCs w:val="24"/>
        </w:rPr>
        <w:t xml:space="preserve"> consistent with these results </w:t>
      </w:r>
      <w:r w:rsidR="00176CBA">
        <w:rPr>
          <w:sz w:val="24"/>
          <w:szCs w:val="24"/>
        </w:rPr>
        <w:t xml:space="preserve">with respondents </w:t>
      </w:r>
      <w:r>
        <w:rPr>
          <w:sz w:val="24"/>
          <w:szCs w:val="24"/>
        </w:rPr>
        <w:t>emphasizing</w:t>
      </w:r>
      <w:r w:rsidR="00176CBA">
        <w:rPr>
          <w:sz w:val="24"/>
          <w:szCs w:val="24"/>
        </w:rPr>
        <w:t xml:space="preserve"> improved</w:t>
      </w:r>
      <w:r>
        <w:rPr>
          <w:sz w:val="24"/>
          <w:szCs w:val="24"/>
        </w:rPr>
        <w:t xml:space="preserve"> interdisciplinary learning, reflective consultation, and increased understanding of infant and early childhood development</w:t>
      </w:r>
      <w:r w:rsidR="00176CBA">
        <w:rPr>
          <w:sz w:val="24"/>
          <w:szCs w:val="24"/>
        </w:rPr>
        <w:t xml:space="preserve"> </w:t>
      </w:r>
      <w:proofErr w:type="gramStart"/>
      <w:r w:rsidR="00176CBA">
        <w:rPr>
          <w:sz w:val="24"/>
          <w:szCs w:val="24"/>
        </w:rPr>
        <w:t>as a result of</w:t>
      </w:r>
      <w:proofErr w:type="gramEnd"/>
      <w:r w:rsidR="00176CBA">
        <w:rPr>
          <w:sz w:val="24"/>
          <w:szCs w:val="24"/>
        </w:rPr>
        <w:t xml:space="preserve"> the project.</w:t>
      </w:r>
    </w:p>
    <w:p w14:paraId="6E1725CE" w14:textId="77777777" w:rsidR="00005027" w:rsidRDefault="00005027" w:rsidP="72903398">
      <w:pPr>
        <w:pStyle w:val="Caption"/>
        <w:jc w:val="left"/>
        <w:rPr>
          <w:color w:val="000000" w:themeColor="accent2"/>
          <w:sz w:val="22"/>
          <w:szCs w:val="22"/>
        </w:rPr>
      </w:pPr>
      <w:bookmarkStart w:id="11" w:name="_Toc192537062"/>
    </w:p>
    <w:p w14:paraId="343F7BC3" w14:textId="77777777" w:rsidR="00554DB2" w:rsidRPr="00554DB2" w:rsidRDefault="00554DB2" w:rsidP="00554DB2"/>
    <w:p w14:paraId="164B2D8B" w14:textId="77777777" w:rsidR="00005027" w:rsidRDefault="00005027" w:rsidP="72903398">
      <w:pPr>
        <w:pStyle w:val="Caption"/>
        <w:jc w:val="left"/>
        <w:rPr>
          <w:color w:val="000000" w:themeColor="accent2"/>
          <w:sz w:val="22"/>
          <w:szCs w:val="22"/>
        </w:rPr>
      </w:pPr>
    </w:p>
    <w:p w14:paraId="07AEBF58" w14:textId="77777777" w:rsidR="00005027" w:rsidRDefault="00005027" w:rsidP="72903398">
      <w:pPr>
        <w:pStyle w:val="Caption"/>
        <w:jc w:val="left"/>
        <w:rPr>
          <w:color w:val="000000" w:themeColor="accent2"/>
          <w:sz w:val="22"/>
          <w:szCs w:val="22"/>
        </w:rPr>
      </w:pPr>
    </w:p>
    <w:p w14:paraId="2003BC75" w14:textId="53763F8A" w:rsidR="00086CAE" w:rsidRPr="002C52F9" w:rsidRDefault="00086CAE" w:rsidP="72903398">
      <w:pPr>
        <w:pStyle w:val="Caption"/>
        <w:jc w:val="left"/>
        <w:rPr>
          <w:color w:val="000000" w:themeColor="text1"/>
          <w:sz w:val="22"/>
          <w:szCs w:val="22"/>
        </w:rPr>
      </w:pPr>
      <w:r>
        <w:rPr>
          <w:color w:val="000000" w:themeColor="accent2"/>
          <w:sz w:val="22"/>
          <w:szCs w:val="22"/>
        </w:rPr>
        <w:lastRenderedPageBreak/>
        <w:t xml:space="preserve">Figure </w:t>
      </w:r>
      <w:r>
        <w:rPr>
          <w:color w:val="000000" w:themeColor="accent2"/>
          <w:sz w:val="22"/>
          <w:szCs w:val="22"/>
        </w:rPr>
        <w:fldChar w:fldCharType="begin"/>
      </w:r>
      <w:r>
        <w:rPr>
          <w:color w:val="000000" w:themeColor="accent2"/>
          <w:sz w:val="22"/>
          <w:szCs w:val="22"/>
        </w:rPr>
        <w:instrText xml:space="preserve"> SEQ Figure \* ARABIC </w:instrText>
      </w:r>
      <w:r>
        <w:rPr>
          <w:color w:val="000000" w:themeColor="accent2"/>
          <w:sz w:val="22"/>
          <w:szCs w:val="22"/>
        </w:rPr>
        <w:fldChar w:fldCharType="separate"/>
      </w:r>
      <w:r w:rsidR="00451346">
        <w:rPr>
          <w:noProof/>
          <w:color w:val="000000" w:themeColor="accent2"/>
          <w:sz w:val="22"/>
          <w:szCs w:val="22"/>
        </w:rPr>
        <w:t>5</w:t>
      </w:r>
      <w:r>
        <w:rPr>
          <w:color w:val="000000" w:themeColor="accent2"/>
          <w:sz w:val="22"/>
          <w:szCs w:val="22"/>
        </w:rPr>
        <w:fldChar w:fldCharType="end"/>
      </w:r>
      <w:r>
        <w:rPr>
          <w:color w:val="000000" w:themeColor="accent2"/>
          <w:sz w:val="22"/>
          <w:szCs w:val="22"/>
        </w:rPr>
        <w:t>. Do you believe that Safe Babies has improved your professional skills?</w:t>
      </w:r>
      <w:bookmarkEnd w:id="11"/>
    </w:p>
    <w:p w14:paraId="2473BD25" w14:textId="27A8377D" w:rsidR="00AC2D21" w:rsidRPr="0006096B" w:rsidRDefault="00F55AA1" w:rsidP="72903398">
      <w:pPr>
        <w:jc w:val="left"/>
      </w:pPr>
      <w:r>
        <w:rPr>
          <w:noProof/>
        </w:rPr>
        <w:drawing>
          <wp:inline distT="0" distB="0" distL="0" distR="0" wp14:anchorId="3EF057D4" wp14:editId="2BF697DF">
            <wp:extent cx="4572000" cy="2743200"/>
            <wp:effectExtent l="0" t="0" r="0" b="0"/>
            <wp:docPr id="851383141" name="drawing" title="Chart 1, Chart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83141" name="Picture 851383141"/>
                    <pic:cNvPicPr/>
                  </pic:nvPicPr>
                  <pic:blipFill>
                    <a:blip r:embed="rId32">
                      <a:extLst>
                        <a:ext uri="{28A0092B-C50C-407E-A947-70E740481C1C}">
                          <a14:useLocalDpi xmlns:a14="http://schemas.microsoft.com/office/drawing/2010/main"/>
                        </a:ext>
                      </a:extLst>
                    </a:blip>
                    <a:stretch>
                      <a:fillRect/>
                    </a:stretch>
                  </pic:blipFill>
                  <pic:spPr>
                    <a:xfrm>
                      <a:off x="0" y="0"/>
                      <a:ext cx="4572000" cy="2743200"/>
                    </a:xfrm>
                    <a:prstGeom prst="rect">
                      <a:avLst/>
                    </a:prstGeom>
                  </pic:spPr>
                </pic:pic>
              </a:graphicData>
            </a:graphic>
          </wp:inline>
        </w:drawing>
      </w:r>
    </w:p>
    <w:p w14:paraId="33167446" w14:textId="6DE36369" w:rsidR="00424005" w:rsidRDefault="00424005" w:rsidP="0030737F">
      <w:pPr>
        <w:pStyle w:val="Heading3"/>
        <w:rPr>
          <w:i/>
          <w:iCs/>
        </w:rPr>
      </w:pPr>
      <w:r>
        <w:rPr>
          <w:i/>
          <w:iCs/>
        </w:rPr>
        <w:t>How do ITCP professionals describe their use of trauma-responsive and evidence-based practices, barriers to implementation, and future training needs?</w:t>
      </w:r>
    </w:p>
    <w:p w14:paraId="2718E587" w14:textId="201FD31E" w:rsidR="00C23F96" w:rsidRPr="00C23F96" w:rsidRDefault="00C23F96" w:rsidP="00C23F96">
      <w:pPr>
        <w:jc w:val="left"/>
        <w:rPr>
          <w:sz w:val="24"/>
          <w:szCs w:val="24"/>
        </w:rPr>
      </w:pPr>
      <w:bookmarkStart w:id="12" w:name="_Toc193367411"/>
      <w:r>
        <w:rPr>
          <w:sz w:val="24"/>
          <w:szCs w:val="24"/>
        </w:rPr>
        <w:t xml:space="preserve">Qualitative </w:t>
      </w:r>
      <w:r w:rsidR="00B40104">
        <w:rPr>
          <w:sz w:val="24"/>
          <w:szCs w:val="24"/>
        </w:rPr>
        <w:t xml:space="preserve">(see Table 1, below) </w:t>
      </w:r>
      <w:r w:rsidR="00C50978">
        <w:rPr>
          <w:sz w:val="24"/>
          <w:szCs w:val="24"/>
        </w:rPr>
        <w:t xml:space="preserve">and </w:t>
      </w:r>
      <w:r>
        <w:rPr>
          <w:sz w:val="24"/>
          <w:szCs w:val="24"/>
        </w:rPr>
        <w:t xml:space="preserve">quantitative </w:t>
      </w:r>
      <w:r w:rsidR="00B40104">
        <w:rPr>
          <w:sz w:val="24"/>
          <w:szCs w:val="24"/>
        </w:rPr>
        <w:t xml:space="preserve">data </w:t>
      </w:r>
      <w:r w:rsidR="00C50978">
        <w:rPr>
          <w:sz w:val="24"/>
          <w:szCs w:val="24"/>
        </w:rPr>
        <w:t xml:space="preserve">were consistent </w:t>
      </w:r>
      <w:r w:rsidR="00733594">
        <w:rPr>
          <w:sz w:val="24"/>
          <w:szCs w:val="24"/>
        </w:rPr>
        <w:t xml:space="preserve">in </w:t>
      </w:r>
      <w:r w:rsidR="00664086">
        <w:rPr>
          <w:sz w:val="24"/>
          <w:szCs w:val="24"/>
        </w:rPr>
        <w:t>identifying the</w:t>
      </w:r>
      <w:r w:rsidR="00733594">
        <w:rPr>
          <w:sz w:val="24"/>
          <w:szCs w:val="24"/>
        </w:rPr>
        <w:t xml:space="preserve"> use of</w:t>
      </w:r>
      <w:r>
        <w:rPr>
          <w:sz w:val="24"/>
          <w:szCs w:val="24"/>
        </w:rPr>
        <w:t xml:space="preserve"> specific evidence-based therapeutic modalities such as Parent-Child Interaction Therapy (PCIT), Child-Parent Psychotherapy (CPP), Cognitive Behavioral Therapy (CBT), and trauma-</w:t>
      </w:r>
      <w:r w:rsidR="00733594">
        <w:rPr>
          <w:sz w:val="24"/>
          <w:szCs w:val="24"/>
        </w:rPr>
        <w:t>informed</w:t>
      </w:r>
      <w:r>
        <w:rPr>
          <w:sz w:val="24"/>
          <w:szCs w:val="24"/>
        </w:rPr>
        <w:t xml:space="preserve"> interventions. </w:t>
      </w:r>
      <w:r w:rsidR="00733594">
        <w:rPr>
          <w:sz w:val="24"/>
          <w:szCs w:val="24"/>
        </w:rPr>
        <w:t>R</w:t>
      </w:r>
      <w:r>
        <w:rPr>
          <w:sz w:val="24"/>
          <w:szCs w:val="24"/>
        </w:rPr>
        <w:t xml:space="preserve">espondents also </w:t>
      </w:r>
      <w:r w:rsidR="00733594">
        <w:rPr>
          <w:sz w:val="24"/>
          <w:szCs w:val="24"/>
        </w:rPr>
        <w:t>reported</w:t>
      </w:r>
      <w:r>
        <w:rPr>
          <w:sz w:val="24"/>
          <w:szCs w:val="24"/>
        </w:rPr>
        <w:t xml:space="preserve"> applying trauma-responsive principles across roles, even when not </w:t>
      </w:r>
      <w:r w:rsidR="00624226">
        <w:rPr>
          <w:sz w:val="24"/>
          <w:szCs w:val="24"/>
        </w:rPr>
        <w:t xml:space="preserve">engaged in </w:t>
      </w:r>
      <w:r w:rsidR="00F2450A">
        <w:rPr>
          <w:sz w:val="24"/>
          <w:szCs w:val="24"/>
        </w:rPr>
        <w:t xml:space="preserve">direct practice. </w:t>
      </w:r>
      <w:r w:rsidR="00022520">
        <w:rPr>
          <w:sz w:val="24"/>
          <w:szCs w:val="24"/>
        </w:rPr>
        <w:t>Respondents emphasized the need for continued interdisciplinary collaboration, shared understanding across legal and clinical roles, and training focused on equitable and trauma-informed decision-making. Some c</w:t>
      </w:r>
      <w:r>
        <w:rPr>
          <w:sz w:val="24"/>
          <w:szCs w:val="24"/>
        </w:rPr>
        <w:t xml:space="preserve">ommonly identified barriers </w:t>
      </w:r>
      <w:r w:rsidR="00022520">
        <w:rPr>
          <w:sz w:val="24"/>
          <w:szCs w:val="24"/>
        </w:rPr>
        <w:t>to sustaining trauma responsive and evidence-based practice included:</w:t>
      </w:r>
    </w:p>
    <w:p w14:paraId="012A42F7" w14:textId="77777777" w:rsidR="00C23F96" w:rsidRPr="00C23F96" w:rsidRDefault="00C23F96" w:rsidP="00C23F96">
      <w:pPr>
        <w:numPr>
          <w:ilvl w:val="0"/>
          <w:numId w:val="48"/>
        </w:numPr>
        <w:jc w:val="left"/>
        <w:rPr>
          <w:sz w:val="24"/>
          <w:szCs w:val="24"/>
        </w:rPr>
      </w:pPr>
      <w:r>
        <w:rPr>
          <w:sz w:val="24"/>
          <w:szCs w:val="24"/>
        </w:rPr>
        <w:t>Limited availability of trained providers</w:t>
      </w:r>
    </w:p>
    <w:p w14:paraId="4D57A5D1" w14:textId="77777777" w:rsidR="00C23F96" w:rsidRPr="00C23F96" w:rsidRDefault="00C23F96" w:rsidP="00C23F96">
      <w:pPr>
        <w:numPr>
          <w:ilvl w:val="0"/>
          <w:numId w:val="48"/>
        </w:numPr>
        <w:jc w:val="left"/>
        <w:rPr>
          <w:sz w:val="24"/>
          <w:szCs w:val="24"/>
        </w:rPr>
      </w:pPr>
      <w:r>
        <w:rPr>
          <w:sz w:val="24"/>
          <w:szCs w:val="24"/>
        </w:rPr>
        <w:t>High turnover in child welfare positions</w:t>
      </w:r>
    </w:p>
    <w:p w14:paraId="36812396" w14:textId="77777777" w:rsidR="00C23F96" w:rsidRPr="00C23F96" w:rsidRDefault="00C23F96" w:rsidP="00C23F96">
      <w:pPr>
        <w:numPr>
          <w:ilvl w:val="0"/>
          <w:numId w:val="48"/>
        </w:numPr>
        <w:jc w:val="left"/>
        <w:rPr>
          <w:sz w:val="24"/>
          <w:szCs w:val="24"/>
        </w:rPr>
      </w:pPr>
      <w:r>
        <w:rPr>
          <w:sz w:val="24"/>
          <w:szCs w:val="24"/>
        </w:rPr>
        <w:t xml:space="preserve">Time constraints and workload </w:t>
      </w:r>
      <w:proofErr w:type="gramStart"/>
      <w:r>
        <w:rPr>
          <w:sz w:val="24"/>
          <w:szCs w:val="24"/>
        </w:rPr>
        <w:t>demands</w:t>
      </w:r>
      <w:proofErr w:type="gramEnd"/>
    </w:p>
    <w:p w14:paraId="133EFC93" w14:textId="77777777" w:rsidR="00C23F96" w:rsidRPr="00C23F96" w:rsidRDefault="00C23F96" w:rsidP="00C23F96">
      <w:pPr>
        <w:numPr>
          <w:ilvl w:val="0"/>
          <w:numId w:val="48"/>
        </w:numPr>
        <w:jc w:val="left"/>
        <w:rPr>
          <w:sz w:val="24"/>
          <w:szCs w:val="24"/>
        </w:rPr>
      </w:pPr>
      <w:r>
        <w:rPr>
          <w:sz w:val="24"/>
          <w:szCs w:val="24"/>
        </w:rPr>
        <w:t>Transportation and engagement challenges for families</w:t>
      </w:r>
    </w:p>
    <w:p w14:paraId="22FB21B5" w14:textId="1A6F8DF7" w:rsidR="00D15381" w:rsidRPr="00E5286F" w:rsidRDefault="00C23F96" w:rsidP="456BE292">
      <w:pPr>
        <w:numPr>
          <w:ilvl w:val="0"/>
          <w:numId w:val="48"/>
        </w:numPr>
        <w:jc w:val="left"/>
        <w:rPr>
          <w:sz w:val="24"/>
          <w:szCs w:val="24"/>
        </w:rPr>
      </w:pPr>
      <w:r>
        <w:rPr>
          <w:sz w:val="24"/>
          <w:szCs w:val="24"/>
        </w:rPr>
        <w:t>Variation in cross-disciplinary understanding of trauma-responsive practice</w:t>
      </w:r>
      <w:bookmarkEnd w:id="12"/>
    </w:p>
    <w:p w14:paraId="63B133D3" w14:textId="0F900421" w:rsidR="440106C6" w:rsidRDefault="440106C6" w:rsidP="456BE292">
      <w:pPr>
        <w:jc w:val="left"/>
      </w:pPr>
      <w:r>
        <w:rPr>
          <w:rFonts w:eastAsia="Roboto" w:cs="Roboto"/>
          <w:sz w:val="24"/>
          <w:szCs w:val="24"/>
        </w:rPr>
        <w:t xml:space="preserve">Qualitative findings in FY2025 were </w:t>
      </w:r>
      <w:r w:rsidR="005C742A">
        <w:rPr>
          <w:rFonts w:eastAsia="Roboto" w:cs="Roboto"/>
          <w:sz w:val="24"/>
          <w:szCs w:val="24"/>
        </w:rPr>
        <w:t>generally</w:t>
      </w:r>
      <w:r>
        <w:rPr>
          <w:rFonts w:eastAsia="Roboto" w:cs="Roboto"/>
          <w:sz w:val="24"/>
          <w:szCs w:val="24"/>
        </w:rPr>
        <w:t xml:space="preserve"> consistent with</w:t>
      </w:r>
      <w:r w:rsidR="005C742A">
        <w:rPr>
          <w:rFonts w:eastAsia="Roboto" w:cs="Roboto"/>
          <w:sz w:val="24"/>
          <w:szCs w:val="24"/>
        </w:rPr>
        <w:t xml:space="preserve"> those from</w:t>
      </w:r>
      <w:r>
        <w:rPr>
          <w:rFonts w:eastAsia="Roboto" w:cs="Roboto"/>
          <w:sz w:val="24"/>
          <w:szCs w:val="24"/>
        </w:rPr>
        <w:t xml:space="preserve"> FY2024</w:t>
      </w:r>
      <w:r w:rsidR="005C742A">
        <w:rPr>
          <w:rFonts w:eastAsia="Roboto" w:cs="Roboto"/>
          <w:sz w:val="24"/>
          <w:szCs w:val="24"/>
        </w:rPr>
        <w:t xml:space="preserve"> when</w:t>
      </w:r>
      <w:r>
        <w:rPr>
          <w:rFonts w:eastAsia="Roboto" w:cs="Roboto"/>
          <w:sz w:val="24"/>
          <w:szCs w:val="24"/>
        </w:rPr>
        <w:t xml:space="preserve"> </w:t>
      </w:r>
      <w:r w:rsidR="005C742A">
        <w:rPr>
          <w:rFonts w:eastAsia="Roboto" w:cs="Roboto"/>
          <w:sz w:val="24"/>
          <w:szCs w:val="24"/>
        </w:rPr>
        <w:t>r</w:t>
      </w:r>
      <w:r>
        <w:rPr>
          <w:rFonts w:eastAsia="Roboto" w:cs="Roboto"/>
          <w:sz w:val="24"/>
          <w:szCs w:val="24"/>
        </w:rPr>
        <w:t>espondents</w:t>
      </w:r>
      <w:r w:rsidR="005C742A">
        <w:rPr>
          <w:rFonts w:eastAsia="Roboto" w:cs="Roboto"/>
          <w:sz w:val="24"/>
          <w:szCs w:val="24"/>
        </w:rPr>
        <w:t xml:space="preserve"> also</w:t>
      </w:r>
      <w:r>
        <w:rPr>
          <w:rFonts w:eastAsia="Roboto" w:cs="Roboto"/>
          <w:sz w:val="24"/>
          <w:szCs w:val="24"/>
        </w:rPr>
        <w:t xml:space="preserve"> described using a range of therapeutic modalities and trauma-responsive approaches while identifying workforce limitations, provider shortages, and </w:t>
      </w:r>
      <w:r w:rsidR="005C742A">
        <w:rPr>
          <w:rFonts w:eastAsia="Roboto" w:cs="Roboto"/>
          <w:sz w:val="24"/>
          <w:szCs w:val="24"/>
        </w:rPr>
        <w:t>different</w:t>
      </w:r>
      <w:r>
        <w:rPr>
          <w:rFonts w:eastAsia="Roboto" w:cs="Roboto"/>
          <w:sz w:val="24"/>
          <w:szCs w:val="24"/>
        </w:rPr>
        <w:t xml:space="preserve"> understanding of trauma-informed practice across disciplines as </w:t>
      </w:r>
      <w:r w:rsidR="0090206F">
        <w:rPr>
          <w:rFonts w:eastAsia="Roboto" w:cs="Roboto"/>
          <w:sz w:val="24"/>
          <w:szCs w:val="24"/>
        </w:rPr>
        <w:t>perceived</w:t>
      </w:r>
      <w:r>
        <w:rPr>
          <w:rFonts w:eastAsia="Roboto" w:cs="Roboto"/>
          <w:sz w:val="24"/>
          <w:szCs w:val="24"/>
        </w:rPr>
        <w:t xml:space="preserve"> barriers. </w:t>
      </w:r>
      <w:r w:rsidR="00B40104">
        <w:rPr>
          <w:rFonts w:eastAsia="Roboto" w:cs="Roboto"/>
          <w:sz w:val="24"/>
          <w:szCs w:val="24"/>
        </w:rPr>
        <w:t>The</w:t>
      </w:r>
      <w:r>
        <w:rPr>
          <w:rFonts w:eastAsia="Roboto" w:cs="Roboto"/>
          <w:sz w:val="24"/>
          <w:szCs w:val="24"/>
        </w:rPr>
        <w:t xml:space="preserve"> FY2025</w:t>
      </w:r>
      <w:r w:rsidR="00B40104">
        <w:rPr>
          <w:rFonts w:eastAsia="Roboto" w:cs="Roboto"/>
          <w:sz w:val="24"/>
          <w:szCs w:val="24"/>
        </w:rPr>
        <w:t xml:space="preserve"> results suggested</w:t>
      </w:r>
      <w:r>
        <w:rPr>
          <w:rFonts w:eastAsia="Roboto" w:cs="Roboto"/>
          <w:sz w:val="24"/>
          <w:szCs w:val="24"/>
        </w:rPr>
        <w:t xml:space="preserve"> respondents emphasi</w:t>
      </w:r>
      <w:r w:rsidR="00B40104">
        <w:rPr>
          <w:rFonts w:eastAsia="Roboto" w:cs="Roboto"/>
          <w:sz w:val="24"/>
          <w:szCs w:val="24"/>
        </w:rPr>
        <w:t>zed</w:t>
      </w:r>
      <w:r>
        <w:rPr>
          <w:rFonts w:eastAsia="Roboto" w:cs="Roboto"/>
          <w:sz w:val="24"/>
          <w:szCs w:val="24"/>
        </w:rPr>
        <w:t xml:space="preserve"> </w:t>
      </w:r>
      <w:r w:rsidR="00B40104">
        <w:rPr>
          <w:rFonts w:eastAsia="Roboto" w:cs="Roboto"/>
          <w:sz w:val="24"/>
          <w:szCs w:val="24"/>
        </w:rPr>
        <w:t>a need for</w:t>
      </w:r>
      <w:r>
        <w:rPr>
          <w:rFonts w:eastAsia="Roboto" w:cs="Roboto"/>
          <w:sz w:val="24"/>
          <w:szCs w:val="24"/>
        </w:rPr>
        <w:t xml:space="preserve"> interdisciplinary collaboration, shared decision-making, and practical implementation challenges.</w:t>
      </w:r>
    </w:p>
    <w:p w14:paraId="01DC9D14" w14:textId="0DA5BC58" w:rsidR="0E51D30D" w:rsidRDefault="0E51D30D" w:rsidP="456BE292">
      <w:pPr>
        <w:pStyle w:val="Caption"/>
        <w:jc w:val="left"/>
        <w:rPr>
          <w:rFonts w:ascii="Roboto" w:eastAsia="Roboto" w:hAnsi="Roboto" w:cs="Roboto"/>
          <w:sz w:val="24"/>
          <w:szCs w:val="24"/>
        </w:rPr>
      </w:pPr>
      <w:r>
        <w:rPr>
          <w:rFonts w:ascii="Roboto" w:eastAsia="Roboto" w:hAnsi="Roboto" w:cs="Roboto"/>
          <w:color w:val="auto"/>
          <w:sz w:val="24"/>
          <w:szCs w:val="24"/>
        </w:rPr>
        <w:lastRenderedPageBreak/>
        <w:t>Table 1. What types of evidence-based and/or trauma-responsive practices do you use in working with ITCP?</w:t>
      </w:r>
    </w:p>
    <w:tbl>
      <w:tblPr>
        <w:tblStyle w:val="PlainTable1"/>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90"/>
        <w:gridCol w:w="3390"/>
        <w:gridCol w:w="3390"/>
      </w:tblGrid>
      <w:tr w:rsidR="72903398" w14:paraId="6B2464CD" w14:textId="77777777" w:rsidTr="7290339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1F999394" w14:textId="318C63D4" w:rsidR="72903398" w:rsidRDefault="72903398" w:rsidP="72903398">
            <w:pPr>
              <w:jc w:val="left"/>
              <w:rPr>
                <w:rFonts w:ascii="Roboto" w:eastAsia="Roboto" w:hAnsi="Roboto" w:cs="Roboto"/>
                <w:b/>
                <w:bCs w:val="0"/>
                <w:sz w:val="22"/>
                <w:szCs w:val="22"/>
              </w:rPr>
            </w:pPr>
            <w:r>
              <w:rPr>
                <w:rFonts w:ascii="Roboto" w:eastAsia="Roboto" w:hAnsi="Roboto" w:cs="Roboto"/>
                <w:bCs w:val="0"/>
                <w:color w:val="FFFFFF" w:themeColor="background1"/>
                <w:sz w:val="22"/>
                <w:szCs w:val="22"/>
              </w:rPr>
              <w:t>Theme</w:t>
            </w:r>
          </w:p>
        </w:tc>
        <w:tc>
          <w:tcPr>
            <w:tcW w:w="3390" w:type="dxa"/>
            <w:tcMar>
              <w:left w:w="105" w:type="dxa"/>
              <w:right w:w="105" w:type="dxa"/>
            </w:tcMar>
          </w:tcPr>
          <w:p w14:paraId="5AB09724" w14:textId="5EC829FF"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Description</w:t>
            </w:r>
          </w:p>
        </w:tc>
        <w:tc>
          <w:tcPr>
            <w:tcW w:w="3390" w:type="dxa"/>
            <w:tcMar>
              <w:left w:w="105" w:type="dxa"/>
              <w:right w:w="105" w:type="dxa"/>
            </w:tcMar>
          </w:tcPr>
          <w:p w14:paraId="11085452" w14:textId="01F78C39"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Exemplary Quote</w:t>
            </w:r>
          </w:p>
        </w:tc>
      </w:tr>
      <w:tr w:rsidR="72903398" w14:paraId="28421477" w14:textId="77777777" w:rsidTr="729033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2F9D3D9C" w14:textId="2BC4347F" w:rsidR="72903398" w:rsidRDefault="72903398" w:rsidP="72903398">
            <w:pPr>
              <w:jc w:val="left"/>
              <w:rPr>
                <w:rFonts w:ascii="Roboto" w:eastAsia="Roboto" w:hAnsi="Roboto" w:cs="Roboto"/>
                <w:sz w:val="22"/>
                <w:szCs w:val="22"/>
              </w:rPr>
            </w:pPr>
            <w:r>
              <w:rPr>
                <w:rFonts w:ascii="Roboto" w:eastAsia="Roboto" w:hAnsi="Roboto" w:cs="Roboto"/>
                <w:sz w:val="22"/>
                <w:szCs w:val="22"/>
              </w:rPr>
              <w:t>Therapeutic Modalities</w:t>
            </w:r>
          </w:p>
        </w:tc>
        <w:tc>
          <w:tcPr>
            <w:tcW w:w="3390" w:type="dxa"/>
            <w:tcMar>
              <w:left w:w="105" w:type="dxa"/>
              <w:right w:w="105" w:type="dxa"/>
            </w:tcMar>
          </w:tcPr>
          <w:p w14:paraId="2CC6E8A8" w14:textId="492C8EC1" w:rsidR="72903398" w:rsidRDefault="72903398" w:rsidP="72903398">
            <w:pPr>
              <w:pStyle w:val="BodyText1"/>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Respondents listed evidence-based interventions including Trauma Informed Care, Parents As Teachers, Nurturing Parenting Program, Child Parent Psychotherapy, Reflective Consultation, Parent Child Visitation, 24/7 Dads, Strengths Based Case Management, Motivational Interviewing, Head Start, Safe Care, Play Therapy, </w:t>
            </w:r>
            <w:proofErr w:type="spellStart"/>
            <w:r>
              <w:rPr>
                <w:rFonts w:ascii="Roboto" w:eastAsia="Roboto" w:hAnsi="Roboto" w:cs="Roboto"/>
                <w:sz w:val="22"/>
                <w:szCs w:val="22"/>
              </w:rPr>
              <w:t>Theraplay</w:t>
            </w:r>
            <w:proofErr w:type="spellEnd"/>
            <w:r>
              <w:rPr>
                <w:rFonts w:ascii="Roboto" w:eastAsia="Roboto" w:hAnsi="Roboto" w:cs="Roboto"/>
                <w:sz w:val="22"/>
                <w:szCs w:val="22"/>
              </w:rPr>
              <w:t xml:space="preserve">, EMDR, Parent Partners, FFMs, Caring Dads, and </w:t>
            </w:r>
            <w:r w:rsidR="00683481">
              <w:rPr>
                <w:rFonts w:ascii="Roboto" w:eastAsia="Roboto" w:hAnsi="Roboto" w:cs="Roboto"/>
                <w:sz w:val="22"/>
                <w:szCs w:val="22"/>
              </w:rPr>
              <w:t xml:space="preserve">working with </w:t>
            </w:r>
            <w:r>
              <w:rPr>
                <w:rFonts w:ascii="Roboto" w:eastAsia="Roboto" w:hAnsi="Roboto" w:cs="Roboto"/>
                <w:sz w:val="22"/>
                <w:szCs w:val="22"/>
              </w:rPr>
              <w:t>specialty courts.</w:t>
            </w:r>
          </w:p>
        </w:tc>
        <w:tc>
          <w:tcPr>
            <w:tcW w:w="3390" w:type="dxa"/>
            <w:tcMar>
              <w:left w:w="105" w:type="dxa"/>
              <w:right w:w="105" w:type="dxa"/>
            </w:tcMar>
            <w:vAlign w:val="center"/>
          </w:tcPr>
          <w:p w14:paraId="7726EF3B" w14:textId="0B6CBA1D" w:rsidR="72903398" w:rsidRDefault="72903398" w:rsidP="72903398">
            <w:pPr>
              <w:pStyle w:val="BodyText1"/>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“Parent partners, FFMs, </w:t>
            </w:r>
            <w:proofErr w:type="spellStart"/>
            <w:r>
              <w:rPr>
                <w:rFonts w:ascii="Roboto" w:eastAsia="Roboto" w:hAnsi="Roboto" w:cs="Roboto"/>
                <w:sz w:val="22"/>
                <w:szCs w:val="22"/>
              </w:rPr>
              <w:t>SafeCare</w:t>
            </w:r>
            <w:proofErr w:type="spellEnd"/>
            <w:r>
              <w:rPr>
                <w:rFonts w:ascii="Roboto" w:eastAsia="Roboto" w:hAnsi="Roboto" w:cs="Roboto"/>
                <w:sz w:val="22"/>
                <w:szCs w:val="22"/>
              </w:rPr>
              <w:t>, Caring Dads, and specialty courts are all examples of evidence-based practice we use.”</w:t>
            </w:r>
          </w:p>
        </w:tc>
      </w:tr>
      <w:tr w:rsidR="72903398" w14:paraId="3264B7F5" w14:textId="77777777" w:rsidTr="72903398">
        <w:trPr>
          <w:trHeight w:val="450"/>
        </w:trPr>
        <w:tc>
          <w:tcPr>
            <w:cnfStyle w:val="001000000000" w:firstRow="0" w:lastRow="0" w:firstColumn="1" w:lastColumn="0" w:oddVBand="0" w:evenVBand="0" w:oddHBand="0" w:evenHBand="0" w:firstRowFirstColumn="0" w:firstRowLastColumn="0" w:lastRowFirstColumn="0" w:lastRowLastColumn="0"/>
            <w:tcW w:w="3390" w:type="dxa"/>
            <w:tcBorders>
              <w:bottom w:val="single" w:sz="4" w:space="0" w:color="62666A" w:themeColor="text2"/>
            </w:tcBorders>
            <w:tcMar>
              <w:left w:w="105" w:type="dxa"/>
              <w:right w:w="105" w:type="dxa"/>
            </w:tcMar>
          </w:tcPr>
          <w:p w14:paraId="1B11DF01" w14:textId="1CAE7F9F" w:rsidR="72903398" w:rsidRDefault="72903398" w:rsidP="72903398">
            <w:pPr>
              <w:jc w:val="left"/>
              <w:rPr>
                <w:rFonts w:ascii="Roboto" w:eastAsia="Roboto" w:hAnsi="Roboto" w:cs="Roboto"/>
                <w:sz w:val="22"/>
                <w:szCs w:val="22"/>
              </w:rPr>
            </w:pPr>
            <w:r>
              <w:rPr>
                <w:rFonts w:ascii="Roboto" w:eastAsia="Roboto" w:hAnsi="Roboto" w:cs="Roboto"/>
                <w:sz w:val="22"/>
                <w:szCs w:val="22"/>
              </w:rPr>
              <w:t>General Supports</w:t>
            </w:r>
          </w:p>
        </w:tc>
        <w:tc>
          <w:tcPr>
            <w:tcW w:w="3390" w:type="dxa"/>
            <w:tcBorders>
              <w:bottom w:val="single" w:sz="4" w:space="0" w:color="62666A" w:themeColor="text2"/>
            </w:tcBorders>
            <w:tcMar>
              <w:left w:w="105" w:type="dxa"/>
              <w:right w:w="105" w:type="dxa"/>
            </w:tcMar>
          </w:tcPr>
          <w:p w14:paraId="57456132" w14:textId="140D208F" w:rsidR="72903398" w:rsidRDefault="00683481" w:rsidP="72903398">
            <w:pPr>
              <w:pStyle w:val="BodyText1"/>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G</w:t>
            </w:r>
            <w:r w:rsidR="72903398">
              <w:rPr>
                <w:rFonts w:ascii="Roboto" w:eastAsia="Roboto" w:hAnsi="Roboto" w:cs="Roboto"/>
                <w:sz w:val="22"/>
                <w:szCs w:val="22"/>
              </w:rPr>
              <w:t xml:space="preserve">eneral professional </w:t>
            </w:r>
            <w:proofErr w:type="gramStart"/>
            <w:r w:rsidR="72903398">
              <w:rPr>
                <w:rFonts w:ascii="Roboto" w:eastAsia="Roboto" w:hAnsi="Roboto" w:cs="Roboto"/>
                <w:sz w:val="22"/>
                <w:szCs w:val="22"/>
              </w:rPr>
              <w:t>supports</w:t>
            </w:r>
            <w:proofErr w:type="gramEnd"/>
            <w:r w:rsidR="72903398">
              <w:rPr>
                <w:rFonts w:ascii="Roboto" w:eastAsia="Roboto" w:hAnsi="Roboto" w:cs="Roboto"/>
                <w:sz w:val="22"/>
                <w:szCs w:val="22"/>
              </w:rPr>
              <w:t>, such as therapists who specialize in trauma-based therapy</w:t>
            </w:r>
            <w:r>
              <w:rPr>
                <w:rFonts w:ascii="Roboto" w:eastAsia="Roboto" w:hAnsi="Roboto" w:cs="Roboto"/>
                <w:sz w:val="22"/>
                <w:szCs w:val="22"/>
              </w:rPr>
              <w:t xml:space="preserve"> were mentioned</w:t>
            </w:r>
            <w:r w:rsidR="72903398">
              <w:rPr>
                <w:rFonts w:ascii="Roboto" w:eastAsia="Roboto" w:hAnsi="Roboto" w:cs="Roboto"/>
                <w:sz w:val="22"/>
                <w:szCs w:val="22"/>
              </w:rPr>
              <w:t xml:space="preserve">. </w:t>
            </w:r>
          </w:p>
        </w:tc>
        <w:tc>
          <w:tcPr>
            <w:tcW w:w="3390" w:type="dxa"/>
            <w:tcBorders>
              <w:bottom w:val="single" w:sz="4" w:space="0" w:color="62666A" w:themeColor="text2"/>
            </w:tcBorders>
            <w:tcMar>
              <w:left w:w="105" w:type="dxa"/>
              <w:right w:w="105" w:type="dxa"/>
            </w:tcMar>
            <w:vAlign w:val="center"/>
          </w:tcPr>
          <w:p w14:paraId="7FD2E9FB" w14:textId="3264E51D" w:rsidR="72903398" w:rsidRDefault="00D8101C" w:rsidP="72903398">
            <w:pPr>
              <w:jc w:val="left"/>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In general, “the ability to have more </w:t>
            </w:r>
            <w:proofErr w:type="spellStart"/>
            <w:r>
              <w:rPr>
                <w:rFonts w:ascii="Roboto" w:eastAsia="Roboto" w:hAnsi="Roboto" w:cs="Roboto"/>
                <w:sz w:val="22"/>
                <w:szCs w:val="22"/>
              </w:rPr>
              <w:t>staffings</w:t>
            </w:r>
            <w:proofErr w:type="spellEnd"/>
            <w:r>
              <w:rPr>
                <w:rFonts w:ascii="Roboto" w:eastAsia="Roboto" w:hAnsi="Roboto" w:cs="Roboto"/>
                <w:sz w:val="22"/>
                <w:szCs w:val="22"/>
              </w:rPr>
              <w:t xml:space="preserve"> and professional collaboration on cases, and meeting more frequently” provided support. </w:t>
            </w:r>
          </w:p>
        </w:tc>
      </w:tr>
      <w:tr w:rsidR="72903398" w14:paraId="5BBF2DA3" w14:textId="77777777" w:rsidTr="729033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Borders>
              <w:top w:val="single" w:sz="4" w:space="0" w:color="62666A" w:themeColor="text2"/>
              <w:bottom w:val="single" w:sz="4" w:space="0" w:color="auto"/>
            </w:tcBorders>
            <w:tcMar>
              <w:left w:w="105" w:type="dxa"/>
              <w:right w:w="105" w:type="dxa"/>
            </w:tcMar>
          </w:tcPr>
          <w:p w14:paraId="59E3EF31" w14:textId="57C9F86C" w:rsidR="72903398" w:rsidRDefault="72903398" w:rsidP="72903398">
            <w:pPr>
              <w:jc w:val="left"/>
              <w:rPr>
                <w:rFonts w:ascii="Roboto" w:eastAsia="Roboto" w:hAnsi="Roboto" w:cs="Roboto"/>
                <w:sz w:val="22"/>
                <w:szCs w:val="22"/>
              </w:rPr>
            </w:pPr>
            <w:r>
              <w:rPr>
                <w:rFonts w:ascii="Roboto" w:eastAsia="Roboto" w:hAnsi="Roboto" w:cs="Roboto"/>
                <w:sz w:val="22"/>
                <w:szCs w:val="22"/>
              </w:rPr>
              <w:t>Organizational Practices</w:t>
            </w:r>
          </w:p>
        </w:tc>
        <w:tc>
          <w:tcPr>
            <w:tcW w:w="3390" w:type="dxa"/>
            <w:tcBorders>
              <w:top w:val="single" w:sz="4" w:space="0" w:color="62666A" w:themeColor="text2"/>
              <w:bottom w:val="single" w:sz="4" w:space="0" w:color="auto"/>
            </w:tcBorders>
            <w:tcMar>
              <w:left w:w="105" w:type="dxa"/>
              <w:right w:w="105" w:type="dxa"/>
            </w:tcMar>
          </w:tcPr>
          <w:p w14:paraId="1DC67AF8" w14:textId="006A7FBA" w:rsidR="72903398" w:rsidRDefault="00D8101C" w:rsidP="72903398">
            <w:pPr>
              <w:pStyle w:val="BodyText1"/>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Respondents</w:t>
            </w:r>
            <w:r w:rsidR="72903398">
              <w:rPr>
                <w:rFonts w:ascii="Roboto" w:eastAsia="Roboto" w:hAnsi="Roboto" w:cs="Roboto"/>
                <w:sz w:val="22"/>
                <w:szCs w:val="22"/>
              </w:rPr>
              <w:t xml:space="preserve"> mentioned that, as an organization, they use evidence-based practices </w:t>
            </w:r>
            <w:r>
              <w:rPr>
                <w:rFonts w:ascii="Roboto" w:eastAsia="Roboto" w:hAnsi="Roboto" w:cs="Roboto"/>
                <w:sz w:val="22"/>
                <w:szCs w:val="22"/>
              </w:rPr>
              <w:t>for</w:t>
            </w:r>
            <w:r w:rsidR="72903398">
              <w:rPr>
                <w:rFonts w:ascii="Roboto" w:eastAsia="Roboto" w:hAnsi="Roboto" w:cs="Roboto"/>
                <w:sz w:val="22"/>
                <w:szCs w:val="22"/>
              </w:rPr>
              <w:t xml:space="preserve"> their services.</w:t>
            </w:r>
          </w:p>
        </w:tc>
        <w:tc>
          <w:tcPr>
            <w:tcW w:w="3390" w:type="dxa"/>
            <w:tcBorders>
              <w:top w:val="single" w:sz="4" w:space="0" w:color="62666A" w:themeColor="text2"/>
              <w:bottom w:val="single" w:sz="4" w:space="0" w:color="auto"/>
            </w:tcBorders>
            <w:tcMar>
              <w:left w:w="105" w:type="dxa"/>
              <w:right w:w="105" w:type="dxa"/>
            </w:tcMar>
            <w:vAlign w:val="center"/>
          </w:tcPr>
          <w:p w14:paraId="5D9B32A2" w14:textId="7242821C"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“HHS </w:t>
            </w:r>
            <w:r w:rsidRPr="00D8101C">
              <w:rPr>
                <w:rFonts w:ascii="Roboto" w:eastAsia="Roboto" w:hAnsi="Roboto" w:cs="Roboto"/>
                <w:i/>
                <w:iCs/>
                <w:sz w:val="22"/>
                <w:szCs w:val="22"/>
              </w:rPr>
              <w:t>only</w:t>
            </w:r>
            <w:r>
              <w:rPr>
                <w:rFonts w:ascii="Roboto" w:eastAsia="Roboto" w:hAnsi="Roboto" w:cs="Roboto"/>
                <w:sz w:val="22"/>
                <w:szCs w:val="22"/>
              </w:rPr>
              <w:t xml:space="preserve"> incorporates evidence-based practice into services.”</w:t>
            </w:r>
          </w:p>
        </w:tc>
      </w:tr>
      <w:tr w:rsidR="72903398" w14:paraId="6FA7D393" w14:textId="77777777" w:rsidTr="00D15381">
        <w:trPr>
          <w:trHeight w:val="269"/>
        </w:trPr>
        <w:tc>
          <w:tcPr>
            <w:cnfStyle w:val="001000000000" w:firstRow="0" w:lastRow="0" w:firstColumn="1" w:lastColumn="0" w:oddVBand="0" w:evenVBand="0" w:oddHBand="0" w:evenHBand="0" w:firstRowFirstColumn="0" w:firstRowLastColumn="0" w:lastRowFirstColumn="0" w:lastRowLastColumn="0"/>
            <w:tcW w:w="10170" w:type="dxa"/>
            <w:gridSpan w:val="3"/>
            <w:tcBorders>
              <w:top w:val="single" w:sz="4" w:space="0" w:color="auto"/>
              <w:bottom w:val="single" w:sz="4" w:space="0" w:color="auto"/>
            </w:tcBorders>
            <w:tcMar>
              <w:left w:w="105" w:type="dxa"/>
              <w:right w:w="105" w:type="dxa"/>
            </w:tcMar>
          </w:tcPr>
          <w:p w14:paraId="3BE72342" w14:textId="211AEC7F" w:rsidR="72903398" w:rsidRDefault="72903398" w:rsidP="72903398">
            <w:pPr>
              <w:spacing w:before="0"/>
              <w:jc w:val="left"/>
              <w:rPr>
                <w:rFonts w:ascii="Roboto" w:eastAsia="Roboto" w:hAnsi="Roboto" w:cs="Roboto"/>
              </w:rPr>
            </w:pPr>
            <w:r>
              <w:rPr>
                <w:rFonts w:ascii="Roboto" w:eastAsia="Roboto" w:hAnsi="Roboto" w:cs="Roboto"/>
                <w:b w:val="0"/>
                <w:bCs w:val="0"/>
                <w:i/>
                <w:iCs/>
              </w:rPr>
              <w:t>Note.</w:t>
            </w:r>
            <w:r>
              <w:rPr>
                <w:rFonts w:ascii="Roboto" w:eastAsia="Roboto" w:hAnsi="Roboto" w:cs="Roboto"/>
                <w:b w:val="0"/>
                <w:bCs w:val="0"/>
              </w:rPr>
              <w:t xml:space="preserve"> </w:t>
            </w:r>
            <w:r w:rsidR="005B3714">
              <w:rPr>
                <w:rFonts w:ascii="Roboto" w:eastAsia="Roboto" w:hAnsi="Roboto" w:cs="Roboto"/>
                <w:b w:val="0"/>
                <w:bCs w:val="0"/>
              </w:rPr>
              <w:t>Seven (</w:t>
            </w:r>
            <w:r>
              <w:rPr>
                <w:rFonts w:ascii="Roboto" w:eastAsia="Roboto" w:hAnsi="Roboto" w:cs="Roboto"/>
                <w:b w:val="0"/>
                <w:bCs w:val="0"/>
              </w:rPr>
              <w:t>7</w:t>
            </w:r>
            <w:r w:rsidR="005B3714">
              <w:rPr>
                <w:rFonts w:ascii="Roboto" w:eastAsia="Roboto" w:hAnsi="Roboto" w:cs="Roboto"/>
                <w:b w:val="0"/>
                <w:bCs w:val="0"/>
              </w:rPr>
              <w:t>)</w:t>
            </w:r>
            <w:r>
              <w:rPr>
                <w:rFonts w:ascii="Roboto" w:eastAsia="Roboto" w:hAnsi="Roboto" w:cs="Roboto"/>
                <w:b w:val="0"/>
                <w:bCs w:val="0"/>
              </w:rPr>
              <w:t xml:space="preserve"> </w:t>
            </w:r>
            <w:r w:rsidR="005B3714">
              <w:rPr>
                <w:rFonts w:ascii="Roboto" w:eastAsia="Roboto" w:hAnsi="Roboto" w:cs="Roboto"/>
                <w:b w:val="0"/>
                <w:bCs w:val="0"/>
              </w:rPr>
              <w:t>responded to</w:t>
            </w:r>
            <w:r>
              <w:rPr>
                <w:rFonts w:ascii="Roboto" w:eastAsia="Roboto" w:hAnsi="Roboto" w:cs="Roboto"/>
                <w:b w:val="0"/>
                <w:bCs w:val="0"/>
              </w:rPr>
              <w:t xml:space="preserve"> this question.</w:t>
            </w:r>
          </w:p>
        </w:tc>
      </w:tr>
    </w:tbl>
    <w:p w14:paraId="200E59B7" w14:textId="77777777" w:rsidR="005B3714" w:rsidRDefault="005B3714" w:rsidP="456BE292">
      <w:pPr>
        <w:pStyle w:val="Caption"/>
        <w:jc w:val="left"/>
        <w:rPr>
          <w:rFonts w:ascii="Roboto" w:eastAsia="Roboto" w:hAnsi="Roboto" w:cs="Roboto"/>
          <w:color w:val="auto"/>
          <w:sz w:val="24"/>
          <w:szCs w:val="24"/>
        </w:rPr>
      </w:pPr>
    </w:p>
    <w:p w14:paraId="525C0954" w14:textId="77777777" w:rsidR="005B3714" w:rsidRDefault="005B3714" w:rsidP="456BE292">
      <w:pPr>
        <w:pStyle w:val="Caption"/>
        <w:jc w:val="left"/>
        <w:rPr>
          <w:rFonts w:ascii="Roboto" w:eastAsia="Roboto" w:hAnsi="Roboto" w:cs="Roboto"/>
          <w:color w:val="auto"/>
          <w:sz w:val="24"/>
          <w:szCs w:val="24"/>
        </w:rPr>
      </w:pPr>
    </w:p>
    <w:p w14:paraId="10C2F47F" w14:textId="77777777" w:rsidR="005B3714" w:rsidRDefault="005B3714" w:rsidP="456BE292">
      <w:pPr>
        <w:pStyle w:val="Caption"/>
        <w:jc w:val="left"/>
        <w:rPr>
          <w:rFonts w:ascii="Roboto" w:eastAsia="Roboto" w:hAnsi="Roboto" w:cs="Roboto"/>
          <w:color w:val="auto"/>
          <w:sz w:val="24"/>
          <w:szCs w:val="24"/>
        </w:rPr>
      </w:pPr>
    </w:p>
    <w:p w14:paraId="50D3627D" w14:textId="77777777" w:rsidR="005B3714" w:rsidRDefault="005B3714" w:rsidP="456BE292">
      <w:pPr>
        <w:pStyle w:val="Caption"/>
        <w:jc w:val="left"/>
        <w:rPr>
          <w:rFonts w:ascii="Roboto" w:eastAsia="Roboto" w:hAnsi="Roboto" w:cs="Roboto"/>
          <w:color w:val="auto"/>
          <w:sz w:val="24"/>
          <w:szCs w:val="24"/>
        </w:rPr>
      </w:pPr>
    </w:p>
    <w:p w14:paraId="493BD935" w14:textId="77777777" w:rsidR="005B3714" w:rsidRDefault="005B3714" w:rsidP="456BE292">
      <w:pPr>
        <w:pStyle w:val="Caption"/>
        <w:jc w:val="left"/>
        <w:rPr>
          <w:rFonts w:ascii="Roboto" w:eastAsia="Roboto" w:hAnsi="Roboto" w:cs="Roboto"/>
          <w:color w:val="auto"/>
          <w:sz w:val="24"/>
          <w:szCs w:val="24"/>
        </w:rPr>
      </w:pPr>
    </w:p>
    <w:p w14:paraId="2CBDB5C6" w14:textId="77777777" w:rsidR="00E5286F" w:rsidRDefault="00E5286F">
      <w:pPr>
        <w:spacing w:before="0" w:after="0" w:line="240" w:lineRule="auto"/>
        <w:jc w:val="left"/>
        <w:rPr>
          <w:rFonts w:eastAsia="Roboto" w:cs="Roboto"/>
          <w:i/>
          <w:iCs/>
          <w:sz w:val="24"/>
          <w:szCs w:val="24"/>
        </w:rPr>
      </w:pPr>
      <w:r>
        <w:rPr>
          <w:rFonts w:eastAsia="Roboto" w:cs="Roboto"/>
          <w:sz w:val="24"/>
          <w:szCs w:val="24"/>
        </w:rPr>
        <w:br w:type="page"/>
      </w:r>
    </w:p>
    <w:p w14:paraId="473C8ABB" w14:textId="44A5EE8F" w:rsidR="0E51D30D" w:rsidRDefault="0E51D30D" w:rsidP="456BE292">
      <w:pPr>
        <w:pStyle w:val="Caption"/>
        <w:jc w:val="left"/>
        <w:rPr>
          <w:rFonts w:ascii="Roboto" w:eastAsia="Roboto" w:hAnsi="Roboto" w:cs="Roboto"/>
          <w:sz w:val="24"/>
          <w:szCs w:val="24"/>
        </w:rPr>
      </w:pPr>
      <w:r>
        <w:rPr>
          <w:rFonts w:ascii="Roboto" w:eastAsia="Roboto" w:hAnsi="Roboto" w:cs="Roboto"/>
          <w:color w:val="auto"/>
          <w:sz w:val="24"/>
          <w:szCs w:val="24"/>
        </w:rPr>
        <w:lastRenderedPageBreak/>
        <w:t>Table 2. What barriers do you encounter when implementing trauma-responsive or evidence-based practices?</w:t>
      </w:r>
    </w:p>
    <w:tbl>
      <w:tblPr>
        <w:tblStyle w:val="PlainTable1"/>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90"/>
        <w:gridCol w:w="3390"/>
        <w:gridCol w:w="3390"/>
      </w:tblGrid>
      <w:tr w:rsidR="72903398" w14:paraId="3451BACD" w14:textId="77777777" w:rsidTr="456BE29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2803455F" w14:textId="28D9170B" w:rsidR="72903398" w:rsidRDefault="72903398" w:rsidP="72903398">
            <w:pPr>
              <w:jc w:val="left"/>
              <w:rPr>
                <w:rFonts w:ascii="Roboto" w:eastAsia="Roboto" w:hAnsi="Roboto" w:cs="Roboto"/>
                <w:b/>
                <w:bCs w:val="0"/>
                <w:sz w:val="22"/>
                <w:szCs w:val="22"/>
              </w:rPr>
            </w:pPr>
            <w:r>
              <w:rPr>
                <w:rFonts w:ascii="Roboto" w:eastAsia="Roboto" w:hAnsi="Roboto" w:cs="Roboto"/>
                <w:bCs w:val="0"/>
                <w:color w:val="FFFFFF" w:themeColor="background1"/>
                <w:sz w:val="22"/>
                <w:szCs w:val="22"/>
              </w:rPr>
              <w:t>Theme</w:t>
            </w:r>
          </w:p>
        </w:tc>
        <w:tc>
          <w:tcPr>
            <w:tcW w:w="3390" w:type="dxa"/>
            <w:tcMar>
              <w:left w:w="105" w:type="dxa"/>
              <w:right w:w="105" w:type="dxa"/>
            </w:tcMar>
          </w:tcPr>
          <w:p w14:paraId="1FF51658" w14:textId="5F3B9249"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Description</w:t>
            </w:r>
          </w:p>
        </w:tc>
        <w:tc>
          <w:tcPr>
            <w:tcW w:w="3390" w:type="dxa"/>
            <w:tcMar>
              <w:left w:w="105" w:type="dxa"/>
              <w:right w:w="105" w:type="dxa"/>
            </w:tcMar>
          </w:tcPr>
          <w:p w14:paraId="6EF222DB" w14:textId="2B7843B2"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Exemplary Quote</w:t>
            </w:r>
          </w:p>
        </w:tc>
      </w:tr>
      <w:tr w:rsidR="72903398" w14:paraId="77A1965D" w14:textId="77777777" w:rsidTr="456BE292">
        <w:trPr>
          <w:cnfStyle w:val="000000100000" w:firstRow="0" w:lastRow="0" w:firstColumn="0" w:lastColumn="0" w:oddVBand="0" w:evenVBand="0" w:oddHBand="1" w:evenHBand="0" w:firstRowFirstColumn="0" w:firstRowLastColumn="0" w:lastRowFirstColumn="0" w:lastRowLastColumn="0"/>
          <w:trHeight w:val="2715"/>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2081D9F1" w14:textId="33757E58" w:rsidR="72903398" w:rsidRDefault="72903398" w:rsidP="72903398">
            <w:pPr>
              <w:jc w:val="left"/>
              <w:rPr>
                <w:rFonts w:ascii="Roboto" w:eastAsia="Roboto" w:hAnsi="Roboto" w:cs="Roboto"/>
                <w:sz w:val="22"/>
                <w:szCs w:val="22"/>
              </w:rPr>
            </w:pPr>
            <w:r>
              <w:rPr>
                <w:rFonts w:ascii="Roboto" w:eastAsia="Roboto" w:hAnsi="Roboto" w:cs="Roboto"/>
                <w:sz w:val="22"/>
                <w:szCs w:val="22"/>
              </w:rPr>
              <w:t>Workforce Limitations</w:t>
            </w:r>
          </w:p>
        </w:tc>
        <w:tc>
          <w:tcPr>
            <w:tcW w:w="3390" w:type="dxa"/>
            <w:tcMar>
              <w:left w:w="105" w:type="dxa"/>
              <w:right w:w="105" w:type="dxa"/>
            </w:tcMar>
          </w:tcPr>
          <w:p w14:paraId="1553B36C" w14:textId="44AC641B"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Respondents reported not having enough time to implement practices and to devote to case consultation. Respondents also mentioned that the waitlist for services can be long and that there is a shortage of providers for services.</w:t>
            </w:r>
          </w:p>
        </w:tc>
        <w:tc>
          <w:tcPr>
            <w:tcW w:w="3390" w:type="dxa"/>
            <w:tcMar>
              <w:left w:w="105" w:type="dxa"/>
              <w:right w:w="105" w:type="dxa"/>
            </w:tcMar>
            <w:vAlign w:val="center"/>
          </w:tcPr>
          <w:p w14:paraId="1F257BFF" w14:textId="6D2ADD15" w:rsidR="72903398" w:rsidRDefault="72903398" w:rsidP="72903398">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“There are also not enough providers in the state to make evidence-based practice available to everyone who needs it.”</w:t>
            </w:r>
          </w:p>
          <w:p w14:paraId="6E87DBB5" w14:textId="50201328"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p>
        </w:tc>
      </w:tr>
      <w:tr w:rsidR="72903398" w14:paraId="3A81A5D2" w14:textId="77777777" w:rsidTr="456BE292">
        <w:trPr>
          <w:trHeight w:val="450"/>
        </w:trPr>
        <w:tc>
          <w:tcPr>
            <w:cnfStyle w:val="001000000000" w:firstRow="0" w:lastRow="0" w:firstColumn="1" w:lastColumn="0" w:oddVBand="0" w:evenVBand="0" w:oddHBand="0" w:evenHBand="0" w:firstRowFirstColumn="0" w:firstRowLastColumn="0" w:lastRowFirstColumn="0" w:lastRowLastColumn="0"/>
            <w:tcW w:w="3390" w:type="dxa"/>
            <w:tcBorders>
              <w:bottom w:val="single" w:sz="4" w:space="0" w:color="62666A" w:themeColor="text2"/>
            </w:tcBorders>
            <w:tcMar>
              <w:left w:w="105" w:type="dxa"/>
              <w:right w:w="105" w:type="dxa"/>
            </w:tcMar>
          </w:tcPr>
          <w:p w14:paraId="1C118DE4" w14:textId="4D8CF750" w:rsidR="72903398" w:rsidRDefault="72903398" w:rsidP="72903398">
            <w:pPr>
              <w:jc w:val="left"/>
              <w:rPr>
                <w:rFonts w:ascii="Roboto" w:eastAsia="Roboto" w:hAnsi="Roboto" w:cs="Roboto"/>
                <w:sz w:val="22"/>
                <w:szCs w:val="22"/>
              </w:rPr>
            </w:pPr>
            <w:r>
              <w:rPr>
                <w:rFonts w:ascii="Roboto" w:eastAsia="Roboto" w:hAnsi="Roboto" w:cs="Roboto"/>
                <w:sz w:val="22"/>
                <w:szCs w:val="22"/>
              </w:rPr>
              <w:t>Client-Related Barriers</w:t>
            </w:r>
          </w:p>
        </w:tc>
        <w:tc>
          <w:tcPr>
            <w:tcW w:w="3390" w:type="dxa"/>
            <w:tcBorders>
              <w:bottom w:val="single" w:sz="4" w:space="0" w:color="62666A" w:themeColor="text2"/>
            </w:tcBorders>
            <w:tcMar>
              <w:left w:w="105" w:type="dxa"/>
              <w:right w:w="105" w:type="dxa"/>
            </w:tcMar>
          </w:tcPr>
          <w:p w14:paraId="6630B2F9" w14:textId="0A604F07" w:rsidR="72903398" w:rsidRDefault="72903398" w:rsidP="72903398">
            <w:pPr>
              <w:jc w:val="left"/>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Respondents </w:t>
            </w:r>
            <w:proofErr w:type="gramStart"/>
            <w:r>
              <w:rPr>
                <w:rFonts w:ascii="Roboto" w:eastAsia="Roboto" w:hAnsi="Roboto" w:cs="Roboto"/>
                <w:sz w:val="22"/>
                <w:szCs w:val="22"/>
              </w:rPr>
              <w:t>describe</w:t>
            </w:r>
            <w:proofErr w:type="gramEnd"/>
            <w:r>
              <w:rPr>
                <w:rFonts w:ascii="Roboto" w:eastAsia="Roboto" w:hAnsi="Roboto" w:cs="Roboto"/>
                <w:sz w:val="22"/>
                <w:szCs w:val="22"/>
              </w:rPr>
              <w:t xml:space="preserve"> that there can be a lack of engagement and communication from parents and an unwillingness to share information.</w:t>
            </w:r>
          </w:p>
        </w:tc>
        <w:tc>
          <w:tcPr>
            <w:tcW w:w="3390" w:type="dxa"/>
            <w:tcBorders>
              <w:bottom w:val="single" w:sz="4" w:space="0" w:color="62666A" w:themeColor="text2"/>
            </w:tcBorders>
            <w:tcMar>
              <w:left w:w="105" w:type="dxa"/>
              <w:right w:w="105" w:type="dxa"/>
            </w:tcMar>
            <w:vAlign w:val="center"/>
          </w:tcPr>
          <w:p w14:paraId="423BF12A" w14:textId="3A1BEA87" w:rsidR="72903398" w:rsidRDefault="72903398" w:rsidP="72903398">
            <w:pPr>
              <w:jc w:val="left"/>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“Parents that are stuck and not willing to engage in services.”</w:t>
            </w:r>
          </w:p>
        </w:tc>
      </w:tr>
      <w:tr w:rsidR="72903398" w14:paraId="41915AFB" w14:textId="77777777" w:rsidTr="456BE29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Borders>
              <w:top w:val="single" w:sz="4" w:space="0" w:color="62666A" w:themeColor="text2"/>
              <w:bottom w:val="single" w:sz="4" w:space="0" w:color="62666A" w:themeColor="text2"/>
            </w:tcBorders>
            <w:tcMar>
              <w:left w:w="105" w:type="dxa"/>
              <w:right w:w="105" w:type="dxa"/>
            </w:tcMar>
          </w:tcPr>
          <w:p w14:paraId="513AA2FF" w14:textId="49EDB275" w:rsidR="72903398" w:rsidRDefault="72903398" w:rsidP="72903398">
            <w:pPr>
              <w:jc w:val="left"/>
              <w:rPr>
                <w:rFonts w:ascii="Roboto" w:eastAsia="Roboto" w:hAnsi="Roboto" w:cs="Roboto"/>
                <w:sz w:val="22"/>
                <w:szCs w:val="22"/>
              </w:rPr>
            </w:pPr>
            <w:r>
              <w:rPr>
                <w:rFonts w:ascii="Roboto" w:eastAsia="Roboto" w:hAnsi="Roboto" w:cs="Roboto"/>
                <w:sz w:val="22"/>
                <w:szCs w:val="22"/>
              </w:rPr>
              <w:t>Lack of Awareness, Understanding, and Support</w:t>
            </w:r>
          </w:p>
        </w:tc>
        <w:tc>
          <w:tcPr>
            <w:tcW w:w="3390" w:type="dxa"/>
            <w:tcBorders>
              <w:top w:val="single" w:sz="4" w:space="0" w:color="62666A" w:themeColor="text2"/>
              <w:bottom w:val="single" w:sz="4" w:space="0" w:color="62666A" w:themeColor="text2"/>
            </w:tcBorders>
            <w:tcMar>
              <w:left w:w="105" w:type="dxa"/>
              <w:right w:w="105" w:type="dxa"/>
            </w:tcMar>
          </w:tcPr>
          <w:p w14:paraId="7D7C2BDF" w14:textId="0AFB8987"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Respondents reported that barriers included a lack of buy-in from all providers, foster homes that support this model, and housing and therapists, especially CPP. A lack of awareness of the impact of removal was also reported.</w:t>
            </w:r>
          </w:p>
        </w:tc>
        <w:tc>
          <w:tcPr>
            <w:tcW w:w="3390" w:type="dxa"/>
            <w:tcBorders>
              <w:top w:val="single" w:sz="4" w:space="0" w:color="62666A" w:themeColor="text2"/>
              <w:bottom w:val="single" w:sz="4" w:space="0" w:color="62666A" w:themeColor="text2"/>
            </w:tcBorders>
            <w:tcMar>
              <w:left w:w="105" w:type="dxa"/>
              <w:right w:w="105" w:type="dxa"/>
            </w:tcMar>
            <w:vAlign w:val="center"/>
          </w:tcPr>
          <w:p w14:paraId="496F6FA3" w14:textId="656CA640"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“Not everyone is aware of the impact of removal on infants in the system.”</w:t>
            </w:r>
          </w:p>
        </w:tc>
      </w:tr>
      <w:tr w:rsidR="72903398" w14:paraId="216BEECE" w14:textId="77777777" w:rsidTr="456BE292">
        <w:trPr>
          <w:trHeight w:val="15"/>
        </w:trPr>
        <w:tc>
          <w:tcPr>
            <w:cnfStyle w:val="001000000000" w:firstRow="0" w:lastRow="0" w:firstColumn="1" w:lastColumn="0" w:oddVBand="0" w:evenVBand="0" w:oddHBand="0" w:evenHBand="0" w:firstRowFirstColumn="0" w:firstRowLastColumn="0" w:lastRowFirstColumn="0" w:lastRowLastColumn="0"/>
            <w:tcW w:w="10170" w:type="dxa"/>
            <w:gridSpan w:val="3"/>
            <w:tcBorders>
              <w:top w:val="single" w:sz="4" w:space="0" w:color="62666A" w:themeColor="text2"/>
              <w:left w:val="nil"/>
              <w:bottom w:val="nil"/>
            </w:tcBorders>
            <w:tcMar>
              <w:left w:w="105" w:type="dxa"/>
              <w:right w:w="105" w:type="dxa"/>
            </w:tcMar>
          </w:tcPr>
          <w:p w14:paraId="4F34B14A" w14:textId="1B344743" w:rsidR="72903398" w:rsidRDefault="72903398" w:rsidP="456BE292">
            <w:pPr>
              <w:spacing w:before="0"/>
              <w:jc w:val="left"/>
              <w:rPr>
                <w:rFonts w:ascii="Roboto" w:eastAsia="Roboto" w:hAnsi="Roboto" w:cs="Roboto"/>
              </w:rPr>
            </w:pPr>
            <w:r>
              <w:rPr>
                <w:rFonts w:ascii="Roboto" w:eastAsia="Roboto" w:hAnsi="Roboto" w:cs="Roboto"/>
                <w:b w:val="0"/>
                <w:bCs w:val="0"/>
                <w:i/>
                <w:iCs/>
              </w:rPr>
              <w:t>Note.</w:t>
            </w:r>
            <w:r>
              <w:rPr>
                <w:rFonts w:ascii="Roboto" w:eastAsia="Roboto" w:hAnsi="Roboto" w:cs="Roboto"/>
                <w:b w:val="0"/>
                <w:bCs w:val="0"/>
              </w:rPr>
              <w:t xml:space="preserve"> 7 respondents answered this question. Themes align with both 2025 stakeholder survey responses and leadership focus group discussions.</w:t>
            </w:r>
          </w:p>
        </w:tc>
      </w:tr>
    </w:tbl>
    <w:p w14:paraId="63D2E647" w14:textId="77777777" w:rsidR="00D15381" w:rsidRDefault="00D15381" w:rsidP="456BE292">
      <w:pPr>
        <w:pStyle w:val="Caption"/>
        <w:jc w:val="left"/>
        <w:rPr>
          <w:rFonts w:ascii="Roboto" w:eastAsia="Roboto" w:hAnsi="Roboto" w:cs="Roboto"/>
          <w:color w:val="auto"/>
          <w:sz w:val="24"/>
          <w:szCs w:val="24"/>
        </w:rPr>
      </w:pPr>
    </w:p>
    <w:p w14:paraId="220F8471" w14:textId="77777777" w:rsidR="00D15381" w:rsidRDefault="00D15381" w:rsidP="456BE292">
      <w:pPr>
        <w:pStyle w:val="Caption"/>
        <w:jc w:val="left"/>
        <w:rPr>
          <w:rFonts w:ascii="Roboto" w:eastAsia="Roboto" w:hAnsi="Roboto" w:cs="Roboto"/>
          <w:color w:val="auto"/>
          <w:sz w:val="24"/>
          <w:szCs w:val="24"/>
        </w:rPr>
      </w:pPr>
    </w:p>
    <w:p w14:paraId="0CC6C5DC" w14:textId="77777777" w:rsidR="00D15381" w:rsidRDefault="00D15381" w:rsidP="456BE292">
      <w:pPr>
        <w:pStyle w:val="Caption"/>
        <w:jc w:val="left"/>
        <w:rPr>
          <w:rFonts w:ascii="Roboto" w:eastAsia="Roboto" w:hAnsi="Roboto" w:cs="Roboto"/>
          <w:color w:val="auto"/>
          <w:sz w:val="24"/>
          <w:szCs w:val="24"/>
        </w:rPr>
      </w:pPr>
    </w:p>
    <w:p w14:paraId="06BBEE07" w14:textId="77777777" w:rsidR="00D15381" w:rsidRDefault="00D15381" w:rsidP="456BE292">
      <w:pPr>
        <w:pStyle w:val="Caption"/>
        <w:jc w:val="left"/>
        <w:rPr>
          <w:rFonts w:ascii="Roboto" w:eastAsia="Roboto" w:hAnsi="Roboto" w:cs="Roboto"/>
          <w:color w:val="auto"/>
          <w:sz w:val="24"/>
          <w:szCs w:val="24"/>
        </w:rPr>
      </w:pPr>
    </w:p>
    <w:p w14:paraId="62BEF004" w14:textId="77777777" w:rsidR="008579D4" w:rsidRDefault="008579D4" w:rsidP="008579D4"/>
    <w:p w14:paraId="018B335B" w14:textId="77777777" w:rsidR="008579D4" w:rsidRPr="008579D4" w:rsidRDefault="008579D4" w:rsidP="008579D4"/>
    <w:p w14:paraId="1684F053" w14:textId="77777777" w:rsidR="00D15381" w:rsidRDefault="00D15381" w:rsidP="456BE292">
      <w:pPr>
        <w:pStyle w:val="Caption"/>
        <w:jc w:val="left"/>
        <w:rPr>
          <w:rFonts w:ascii="Roboto" w:eastAsia="Roboto" w:hAnsi="Roboto" w:cs="Roboto"/>
          <w:color w:val="auto"/>
          <w:sz w:val="24"/>
          <w:szCs w:val="24"/>
        </w:rPr>
      </w:pPr>
    </w:p>
    <w:p w14:paraId="0034702E" w14:textId="77777777" w:rsidR="00E5286F" w:rsidRDefault="00E5286F">
      <w:pPr>
        <w:spacing w:before="0" w:after="0" w:line="240" w:lineRule="auto"/>
        <w:jc w:val="left"/>
        <w:rPr>
          <w:rFonts w:eastAsia="Roboto" w:cs="Roboto"/>
          <w:i/>
          <w:iCs/>
          <w:sz w:val="24"/>
          <w:szCs w:val="24"/>
        </w:rPr>
      </w:pPr>
      <w:r>
        <w:rPr>
          <w:rFonts w:eastAsia="Roboto" w:cs="Roboto"/>
          <w:sz w:val="24"/>
          <w:szCs w:val="24"/>
        </w:rPr>
        <w:br w:type="page"/>
      </w:r>
    </w:p>
    <w:p w14:paraId="2C5CFF78" w14:textId="04F32DE5" w:rsidR="0E51D30D" w:rsidRDefault="0E51D30D" w:rsidP="456BE292">
      <w:pPr>
        <w:pStyle w:val="Caption"/>
        <w:jc w:val="left"/>
        <w:rPr>
          <w:rFonts w:ascii="Roboto" w:eastAsia="Roboto" w:hAnsi="Roboto" w:cs="Roboto"/>
          <w:sz w:val="24"/>
          <w:szCs w:val="24"/>
        </w:rPr>
      </w:pPr>
      <w:r>
        <w:rPr>
          <w:rFonts w:ascii="Roboto" w:eastAsia="Roboto" w:hAnsi="Roboto" w:cs="Roboto"/>
          <w:color w:val="auto"/>
          <w:sz w:val="24"/>
          <w:szCs w:val="24"/>
        </w:rPr>
        <w:lastRenderedPageBreak/>
        <w:t>Table 3. What areas should trauma-informed trainings focus on to address your professional needs?</w:t>
      </w:r>
    </w:p>
    <w:tbl>
      <w:tblPr>
        <w:tblStyle w:val="PlainTable1"/>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90"/>
        <w:gridCol w:w="3390"/>
        <w:gridCol w:w="3390"/>
      </w:tblGrid>
      <w:tr w:rsidR="72903398" w14:paraId="71B2648E" w14:textId="77777777" w:rsidTr="456BE292">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5080E731" w14:textId="29874113" w:rsidR="72903398" w:rsidRDefault="72903398" w:rsidP="72903398">
            <w:pPr>
              <w:jc w:val="left"/>
              <w:rPr>
                <w:rFonts w:ascii="Roboto" w:eastAsia="Roboto" w:hAnsi="Roboto" w:cs="Roboto"/>
                <w:b/>
                <w:bCs w:val="0"/>
                <w:sz w:val="22"/>
                <w:szCs w:val="22"/>
              </w:rPr>
            </w:pPr>
            <w:r>
              <w:rPr>
                <w:rFonts w:ascii="Roboto" w:eastAsia="Roboto" w:hAnsi="Roboto" w:cs="Roboto"/>
                <w:bCs w:val="0"/>
                <w:color w:val="FFFFFF" w:themeColor="background1"/>
                <w:sz w:val="22"/>
                <w:szCs w:val="22"/>
              </w:rPr>
              <w:t>Theme</w:t>
            </w:r>
          </w:p>
        </w:tc>
        <w:tc>
          <w:tcPr>
            <w:tcW w:w="3390" w:type="dxa"/>
            <w:tcMar>
              <w:left w:w="105" w:type="dxa"/>
              <w:right w:w="105" w:type="dxa"/>
            </w:tcMar>
          </w:tcPr>
          <w:p w14:paraId="05D5940F" w14:textId="0DFE64A2"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Description</w:t>
            </w:r>
          </w:p>
        </w:tc>
        <w:tc>
          <w:tcPr>
            <w:tcW w:w="3390" w:type="dxa"/>
            <w:tcMar>
              <w:left w:w="105" w:type="dxa"/>
              <w:right w:w="105" w:type="dxa"/>
            </w:tcMar>
          </w:tcPr>
          <w:p w14:paraId="1033317F" w14:textId="1F644F19" w:rsidR="72903398" w:rsidRDefault="72903398" w:rsidP="72903398">
            <w:pPr>
              <w:jc w:val="left"/>
              <w:cnfStyle w:val="100000000000" w:firstRow="1"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bCs w:val="0"/>
                <w:color w:val="FFFFFF" w:themeColor="background1"/>
                <w:sz w:val="22"/>
                <w:szCs w:val="22"/>
              </w:rPr>
              <w:t>Exemplary Quote</w:t>
            </w:r>
          </w:p>
        </w:tc>
      </w:tr>
      <w:tr w:rsidR="72903398" w14:paraId="3F587B03" w14:textId="77777777" w:rsidTr="456BE29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90" w:type="dxa"/>
            <w:tcMar>
              <w:left w:w="105" w:type="dxa"/>
              <w:right w:w="105" w:type="dxa"/>
            </w:tcMar>
          </w:tcPr>
          <w:p w14:paraId="1E926AED" w14:textId="227FE0E7" w:rsidR="72903398" w:rsidRDefault="72903398" w:rsidP="72903398">
            <w:pPr>
              <w:jc w:val="left"/>
              <w:rPr>
                <w:rFonts w:ascii="Roboto" w:eastAsia="Roboto" w:hAnsi="Roboto" w:cs="Roboto"/>
                <w:sz w:val="22"/>
                <w:szCs w:val="22"/>
              </w:rPr>
            </w:pPr>
            <w:r>
              <w:rPr>
                <w:rFonts w:ascii="Roboto" w:eastAsia="Roboto" w:hAnsi="Roboto" w:cs="Roboto"/>
                <w:sz w:val="22"/>
                <w:szCs w:val="22"/>
              </w:rPr>
              <w:t>Implementation and Outcomes</w:t>
            </w:r>
          </w:p>
        </w:tc>
        <w:tc>
          <w:tcPr>
            <w:tcW w:w="3390" w:type="dxa"/>
            <w:tcMar>
              <w:left w:w="105" w:type="dxa"/>
              <w:right w:w="105" w:type="dxa"/>
            </w:tcMar>
          </w:tcPr>
          <w:p w14:paraId="20E36117" w14:textId="588F8A5B"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Respondents said that they would like to focus on the practical implementation of skills taught in trainings and how trauma-informed practices improve outcomes in child welfare proceedings.</w:t>
            </w:r>
          </w:p>
        </w:tc>
        <w:tc>
          <w:tcPr>
            <w:tcW w:w="3390" w:type="dxa"/>
            <w:tcMar>
              <w:left w:w="105" w:type="dxa"/>
              <w:right w:w="105" w:type="dxa"/>
            </w:tcMar>
            <w:vAlign w:val="center"/>
          </w:tcPr>
          <w:p w14:paraId="18C37E16" w14:textId="288E9FEC" w:rsidR="72903398" w:rsidRDefault="72903398" w:rsidP="72903398">
            <w:pPr>
              <w:jc w:val="left"/>
              <w:cnfStyle w:val="000000100000" w:firstRow="0" w:lastRow="0" w:firstColumn="0" w:lastColumn="0" w:oddVBand="0" w:evenVBand="0" w:oddHBand="1"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 xml:space="preserve">“I think a big focus needs to be on how to adequately address concerns with parents in a trauma-informed manner. Sometimes, I think it is difficult to have discussions about concerns because we are trauma informed and don't want to re-traumatize the </w:t>
            </w:r>
            <w:proofErr w:type="gramStart"/>
            <w:r>
              <w:rPr>
                <w:rFonts w:ascii="Roboto" w:eastAsia="Roboto" w:hAnsi="Roboto" w:cs="Roboto"/>
                <w:sz w:val="22"/>
                <w:szCs w:val="22"/>
              </w:rPr>
              <w:t>parent</w:t>
            </w:r>
            <w:proofErr w:type="gramEnd"/>
            <w:r>
              <w:rPr>
                <w:rFonts w:ascii="Roboto" w:eastAsia="Roboto" w:hAnsi="Roboto" w:cs="Roboto"/>
                <w:sz w:val="22"/>
                <w:szCs w:val="22"/>
              </w:rPr>
              <w:t xml:space="preserve"> when bringing up these concerns. There </w:t>
            </w:r>
            <w:proofErr w:type="gramStart"/>
            <w:r>
              <w:rPr>
                <w:rFonts w:ascii="Roboto" w:eastAsia="Roboto" w:hAnsi="Roboto" w:cs="Roboto"/>
                <w:sz w:val="22"/>
                <w:szCs w:val="22"/>
              </w:rPr>
              <w:t>has to</w:t>
            </w:r>
            <w:proofErr w:type="gramEnd"/>
            <w:r>
              <w:rPr>
                <w:rFonts w:ascii="Roboto" w:eastAsia="Roboto" w:hAnsi="Roboto" w:cs="Roboto"/>
                <w:sz w:val="22"/>
                <w:szCs w:val="22"/>
              </w:rPr>
              <w:t xml:space="preserve"> be a healthy balance as not addressing concerns when they happen is ultimately a disservice to the family and professionals.”</w:t>
            </w:r>
          </w:p>
        </w:tc>
      </w:tr>
      <w:tr w:rsidR="72903398" w14:paraId="4160AA26" w14:textId="77777777" w:rsidTr="456BE292">
        <w:trPr>
          <w:trHeight w:val="450"/>
        </w:trPr>
        <w:tc>
          <w:tcPr>
            <w:cnfStyle w:val="001000000000" w:firstRow="0" w:lastRow="0" w:firstColumn="1" w:lastColumn="0" w:oddVBand="0" w:evenVBand="0" w:oddHBand="0" w:evenHBand="0" w:firstRowFirstColumn="0" w:firstRowLastColumn="0" w:lastRowFirstColumn="0" w:lastRowLastColumn="0"/>
            <w:tcW w:w="3390" w:type="dxa"/>
            <w:tcBorders>
              <w:bottom w:val="single" w:sz="4" w:space="0" w:color="62666A" w:themeColor="text2"/>
            </w:tcBorders>
            <w:tcMar>
              <w:left w:w="105" w:type="dxa"/>
              <w:right w:w="105" w:type="dxa"/>
            </w:tcMar>
          </w:tcPr>
          <w:p w14:paraId="2460D81F" w14:textId="55766C42" w:rsidR="72903398" w:rsidRDefault="72903398" w:rsidP="72903398">
            <w:pPr>
              <w:jc w:val="left"/>
              <w:rPr>
                <w:rFonts w:ascii="Roboto" w:eastAsia="Roboto" w:hAnsi="Roboto" w:cs="Roboto"/>
                <w:sz w:val="22"/>
                <w:szCs w:val="22"/>
              </w:rPr>
            </w:pPr>
            <w:r>
              <w:rPr>
                <w:rFonts w:ascii="Roboto" w:eastAsia="Roboto" w:hAnsi="Roboto" w:cs="Roboto"/>
                <w:sz w:val="22"/>
                <w:szCs w:val="22"/>
              </w:rPr>
              <w:t>Topic Areas</w:t>
            </w:r>
          </w:p>
        </w:tc>
        <w:tc>
          <w:tcPr>
            <w:tcW w:w="3390" w:type="dxa"/>
            <w:tcBorders>
              <w:bottom w:val="single" w:sz="4" w:space="0" w:color="62666A" w:themeColor="text2"/>
            </w:tcBorders>
            <w:tcMar>
              <w:left w:w="105" w:type="dxa"/>
              <w:right w:w="105" w:type="dxa"/>
            </w:tcMar>
          </w:tcPr>
          <w:p w14:paraId="4ED50F5F" w14:textId="62F2AEA0" w:rsidR="72903398" w:rsidRDefault="72903398" w:rsidP="72903398">
            <w:pPr>
              <w:jc w:val="left"/>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r>
              <w:rPr>
                <w:rFonts w:ascii="Roboto" w:eastAsia="Roboto" w:hAnsi="Roboto" w:cs="Roboto"/>
                <w:sz w:val="22"/>
                <w:szCs w:val="22"/>
              </w:rPr>
              <w:t>Respondents mentioned several specific topic areas to focus on including mental health services for children, parenting education, social services, homelessness, and legal issues.</w:t>
            </w:r>
          </w:p>
        </w:tc>
        <w:tc>
          <w:tcPr>
            <w:tcW w:w="3390" w:type="dxa"/>
            <w:tcBorders>
              <w:bottom w:val="single" w:sz="4" w:space="0" w:color="62666A" w:themeColor="text2"/>
            </w:tcBorders>
            <w:tcMar>
              <w:left w:w="105" w:type="dxa"/>
              <w:right w:w="105" w:type="dxa"/>
            </w:tcMar>
            <w:vAlign w:val="center"/>
          </w:tcPr>
          <w:p w14:paraId="0A5BACB7" w14:textId="38339789" w:rsidR="72903398" w:rsidRDefault="72903398" w:rsidP="72903398">
            <w:pPr>
              <w:jc w:val="left"/>
              <w:cnfStyle w:val="000000000000" w:firstRow="0" w:lastRow="0" w:firstColumn="0" w:lastColumn="0" w:oddVBand="0" w:evenVBand="0" w:oddHBand="0" w:evenHBand="0" w:firstRowFirstColumn="0" w:firstRowLastColumn="0" w:lastRowFirstColumn="0" w:lastRowLastColumn="0"/>
              <w:rPr>
                <w:rFonts w:ascii="Roboto" w:eastAsia="Roboto" w:hAnsi="Roboto" w:cs="Roboto"/>
                <w:sz w:val="22"/>
                <w:szCs w:val="22"/>
              </w:rPr>
            </w:pPr>
          </w:p>
        </w:tc>
      </w:tr>
      <w:tr w:rsidR="72903398" w14:paraId="6B23A932" w14:textId="77777777" w:rsidTr="456BE29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170" w:type="dxa"/>
            <w:gridSpan w:val="3"/>
            <w:tcBorders>
              <w:top w:val="single" w:sz="4" w:space="0" w:color="62666A" w:themeColor="text2"/>
              <w:bottom w:val="nil"/>
            </w:tcBorders>
            <w:tcMar>
              <w:left w:w="105" w:type="dxa"/>
              <w:right w:w="105" w:type="dxa"/>
            </w:tcMar>
          </w:tcPr>
          <w:p w14:paraId="046E7119" w14:textId="5916FE31" w:rsidR="72903398" w:rsidRDefault="72903398" w:rsidP="456BE292">
            <w:pPr>
              <w:rPr>
                <w:rFonts w:ascii="Roboto" w:eastAsia="Roboto" w:hAnsi="Roboto" w:cs="Roboto"/>
              </w:rPr>
            </w:pPr>
            <w:r>
              <w:rPr>
                <w:rFonts w:ascii="Roboto" w:eastAsia="Roboto" w:hAnsi="Roboto" w:cs="Roboto"/>
                <w:b w:val="0"/>
                <w:bCs w:val="0"/>
                <w:i/>
                <w:iCs/>
              </w:rPr>
              <w:t>Note.</w:t>
            </w:r>
            <w:r>
              <w:rPr>
                <w:rFonts w:ascii="Roboto" w:eastAsia="Roboto" w:hAnsi="Roboto" w:cs="Roboto"/>
                <w:b w:val="0"/>
                <w:bCs w:val="0"/>
              </w:rPr>
              <w:t xml:space="preserve"> </w:t>
            </w:r>
            <w:r w:rsidR="00CC7FF5">
              <w:rPr>
                <w:rFonts w:ascii="Roboto" w:eastAsia="Roboto" w:hAnsi="Roboto" w:cs="Roboto"/>
                <w:b w:val="0"/>
                <w:bCs w:val="0"/>
              </w:rPr>
              <w:t>Five (</w:t>
            </w:r>
            <w:r>
              <w:rPr>
                <w:rFonts w:ascii="Roboto" w:eastAsia="Roboto" w:hAnsi="Roboto" w:cs="Roboto"/>
                <w:b w:val="0"/>
                <w:bCs w:val="0"/>
              </w:rPr>
              <w:t>5</w:t>
            </w:r>
            <w:r w:rsidR="00CC7FF5">
              <w:rPr>
                <w:rFonts w:ascii="Roboto" w:eastAsia="Roboto" w:hAnsi="Roboto" w:cs="Roboto"/>
                <w:b w:val="0"/>
                <w:bCs w:val="0"/>
              </w:rPr>
              <w:t>)</w:t>
            </w:r>
            <w:r>
              <w:rPr>
                <w:rFonts w:ascii="Roboto" w:eastAsia="Roboto" w:hAnsi="Roboto" w:cs="Roboto"/>
                <w:b w:val="0"/>
                <w:bCs w:val="0"/>
              </w:rPr>
              <w:t xml:space="preserve"> respondents answered this question. </w:t>
            </w:r>
            <w:r>
              <w:rPr>
                <w:b w:val="0"/>
                <w:bCs w:val="0"/>
              </w:rPr>
              <w:t>Themes reflect triangulation of survey open-ended responses and October 2025 leadership discussions.</w:t>
            </w:r>
          </w:p>
          <w:p w14:paraId="475B196B" w14:textId="38603BFD" w:rsidR="72903398" w:rsidRDefault="72903398" w:rsidP="456BE292">
            <w:pPr>
              <w:jc w:val="left"/>
              <w:rPr>
                <w:rFonts w:ascii="Roboto" w:eastAsia="Roboto" w:hAnsi="Roboto" w:cs="Roboto"/>
                <w:b w:val="0"/>
                <w:bCs w:val="0"/>
              </w:rPr>
            </w:pPr>
          </w:p>
        </w:tc>
      </w:tr>
    </w:tbl>
    <w:p w14:paraId="47E35959" w14:textId="55FD2B3C" w:rsidR="00C23F96" w:rsidRDefault="00C23F96" w:rsidP="456BE292">
      <w:pPr>
        <w:pStyle w:val="Heading3"/>
        <w:rPr>
          <w:i/>
          <w:iCs/>
        </w:rPr>
      </w:pPr>
      <w:bookmarkStart w:id="13" w:name="_Toc193367518"/>
      <w:r>
        <w:rPr>
          <w:i/>
          <w:iCs/>
        </w:rPr>
        <w:t>Summary of Trauma-Responsive and Evidence-Based Findings</w:t>
      </w:r>
    </w:p>
    <w:p w14:paraId="117ACCA2" w14:textId="7B3B6062" w:rsidR="00475F52" w:rsidRDefault="00C23F96" w:rsidP="00857A16">
      <w:pPr>
        <w:pStyle w:val="Heading2"/>
        <w:spacing w:line="276" w:lineRule="auto"/>
        <w:rPr>
          <w:rFonts w:asciiTheme="minorHAnsi" w:eastAsia="Roboto (Body)" w:hAnsiTheme="minorHAnsi" w:cs="Roboto (Body)"/>
          <w:b w:val="0"/>
          <w:bCs w:val="0"/>
          <w:sz w:val="24"/>
          <w:szCs w:val="24"/>
        </w:rPr>
      </w:pPr>
      <w:r w:rsidRPr="00475F52">
        <w:rPr>
          <w:rFonts w:asciiTheme="minorHAnsi" w:eastAsia="Roboto (Body)" w:hAnsiTheme="minorHAnsi" w:cs="Roboto (Body)"/>
          <w:b w:val="0"/>
          <w:bCs w:val="0"/>
          <w:sz w:val="24"/>
          <w:szCs w:val="24"/>
        </w:rPr>
        <w:t xml:space="preserve">Overall, 2025 </w:t>
      </w:r>
      <w:r w:rsidR="00787F1B" w:rsidRPr="00475F52">
        <w:rPr>
          <w:rFonts w:asciiTheme="minorHAnsi" w:eastAsia="Roboto (Body)" w:hAnsiTheme="minorHAnsi" w:cs="Roboto (Body)"/>
          <w:b w:val="0"/>
          <w:bCs w:val="0"/>
          <w:sz w:val="24"/>
          <w:szCs w:val="24"/>
        </w:rPr>
        <w:t xml:space="preserve">results show support for local </w:t>
      </w:r>
      <w:r w:rsidRPr="00475F52">
        <w:rPr>
          <w:rFonts w:asciiTheme="minorHAnsi" w:eastAsia="Roboto (Body)" w:hAnsiTheme="minorHAnsi" w:cs="Roboto (Body)"/>
          <w:b w:val="0"/>
          <w:bCs w:val="0"/>
          <w:sz w:val="24"/>
          <w:szCs w:val="24"/>
        </w:rPr>
        <w:t xml:space="preserve">integration of trauma-responsive principles across agencies and sustained organizational commitment </w:t>
      </w:r>
      <w:r w:rsidR="00787F1B" w:rsidRPr="00475F52">
        <w:rPr>
          <w:rFonts w:asciiTheme="minorHAnsi" w:eastAsia="Roboto (Body)" w:hAnsiTheme="minorHAnsi" w:cs="Roboto (Body)"/>
          <w:b w:val="0"/>
          <w:bCs w:val="0"/>
          <w:sz w:val="24"/>
          <w:szCs w:val="24"/>
        </w:rPr>
        <w:t xml:space="preserve">of agencies </w:t>
      </w:r>
      <w:r w:rsidRPr="00475F52">
        <w:rPr>
          <w:rFonts w:asciiTheme="minorHAnsi" w:eastAsia="Roboto (Body)" w:hAnsiTheme="minorHAnsi" w:cs="Roboto (Body)"/>
          <w:b w:val="0"/>
          <w:bCs w:val="0"/>
          <w:sz w:val="24"/>
          <w:szCs w:val="24"/>
        </w:rPr>
        <w:t xml:space="preserve">to evidence-based practice. </w:t>
      </w:r>
      <w:r w:rsidR="00787F1B" w:rsidRPr="00475F52">
        <w:rPr>
          <w:rFonts w:asciiTheme="minorHAnsi" w:eastAsia="Roboto (Body)" w:hAnsiTheme="minorHAnsi" w:cs="Roboto (Body)"/>
          <w:b w:val="0"/>
          <w:bCs w:val="0"/>
          <w:sz w:val="24"/>
          <w:szCs w:val="24"/>
        </w:rPr>
        <w:t>R</w:t>
      </w:r>
      <w:r w:rsidRPr="00475F52">
        <w:rPr>
          <w:rFonts w:asciiTheme="minorHAnsi" w:eastAsia="Roboto (Body)" w:hAnsiTheme="minorHAnsi" w:cs="Roboto (Body)"/>
          <w:b w:val="0"/>
          <w:bCs w:val="0"/>
          <w:sz w:val="24"/>
          <w:szCs w:val="24"/>
        </w:rPr>
        <w:t xml:space="preserve">esource limitations and system-level constraints </w:t>
      </w:r>
      <w:r w:rsidR="00787F1B" w:rsidRPr="00475F52">
        <w:rPr>
          <w:rFonts w:asciiTheme="minorHAnsi" w:eastAsia="Roboto (Body)" w:hAnsiTheme="minorHAnsi" w:cs="Roboto (Body)"/>
          <w:b w:val="0"/>
          <w:bCs w:val="0"/>
          <w:sz w:val="24"/>
          <w:szCs w:val="24"/>
        </w:rPr>
        <w:t xml:space="preserve">were cited as hinderances to </w:t>
      </w:r>
      <w:r w:rsidRPr="00475F52">
        <w:rPr>
          <w:rFonts w:asciiTheme="minorHAnsi" w:eastAsia="Roboto (Body)" w:hAnsiTheme="minorHAnsi" w:cs="Roboto (Body)"/>
          <w:b w:val="0"/>
          <w:bCs w:val="0"/>
          <w:sz w:val="24"/>
          <w:szCs w:val="24"/>
        </w:rPr>
        <w:t>consistent implementation.</w:t>
      </w:r>
      <w:r w:rsidR="00787F1B" w:rsidRPr="00475F52">
        <w:rPr>
          <w:rFonts w:asciiTheme="minorHAnsi" w:eastAsia="Roboto (Body)" w:hAnsiTheme="minorHAnsi" w:cs="Roboto (Body)"/>
          <w:b w:val="0"/>
          <w:bCs w:val="0"/>
          <w:sz w:val="24"/>
          <w:szCs w:val="24"/>
        </w:rPr>
        <w:t xml:space="preserve"> </w:t>
      </w:r>
      <w:r w:rsidRPr="00475F52">
        <w:rPr>
          <w:rFonts w:asciiTheme="minorHAnsi" w:eastAsia="Roboto (Body)" w:hAnsiTheme="minorHAnsi" w:cs="Roboto (Body)"/>
          <w:b w:val="0"/>
          <w:bCs w:val="0"/>
          <w:sz w:val="24"/>
          <w:szCs w:val="24"/>
        </w:rPr>
        <w:t xml:space="preserve">These results </w:t>
      </w:r>
      <w:r w:rsidR="00787F1B" w:rsidRPr="00475F52">
        <w:rPr>
          <w:rFonts w:asciiTheme="minorHAnsi" w:eastAsia="Roboto (Body)" w:hAnsiTheme="minorHAnsi" w:cs="Roboto (Body)"/>
          <w:b w:val="0"/>
          <w:bCs w:val="0"/>
          <w:sz w:val="24"/>
          <w:szCs w:val="24"/>
        </w:rPr>
        <w:t>are consistent with</w:t>
      </w:r>
      <w:r w:rsidRPr="00475F52">
        <w:rPr>
          <w:rFonts w:asciiTheme="minorHAnsi" w:eastAsia="Roboto (Body)" w:hAnsiTheme="minorHAnsi" w:cs="Roboto (Body)"/>
          <w:b w:val="0"/>
          <w:bCs w:val="0"/>
          <w:sz w:val="24"/>
          <w:szCs w:val="24"/>
        </w:rPr>
        <w:t xml:space="preserve"> </w:t>
      </w:r>
      <w:r w:rsidR="00787F1B" w:rsidRPr="00475F52">
        <w:rPr>
          <w:rFonts w:asciiTheme="minorHAnsi" w:eastAsia="Roboto (Body)" w:hAnsiTheme="minorHAnsi" w:cs="Roboto (Body)"/>
          <w:b w:val="0"/>
          <w:bCs w:val="0"/>
          <w:sz w:val="24"/>
          <w:szCs w:val="24"/>
        </w:rPr>
        <w:t>the previous</w:t>
      </w:r>
      <w:r w:rsidRPr="00475F52">
        <w:rPr>
          <w:rFonts w:asciiTheme="minorHAnsi" w:eastAsia="Roboto (Body)" w:hAnsiTheme="minorHAnsi" w:cs="Roboto (Body)"/>
          <w:b w:val="0"/>
          <w:bCs w:val="0"/>
          <w:sz w:val="24"/>
          <w:szCs w:val="24"/>
        </w:rPr>
        <w:t xml:space="preserve"> evaluation </w:t>
      </w:r>
      <w:r w:rsidR="00787F1B" w:rsidRPr="00475F52">
        <w:rPr>
          <w:rFonts w:asciiTheme="minorHAnsi" w:eastAsia="Roboto (Body)" w:hAnsiTheme="minorHAnsi" w:cs="Roboto (Body)"/>
          <w:b w:val="0"/>
          <w:bCs w:val="0"/>
          <w:sz w:val="24"/>
          <w:szCs w:val="24"/>
        </w:rPr>
        <w:t>results</w:t>
      </w:r>
      <w:r w:rsidRPr="00475F52">
        <w:rPr>
          <w:rFonts w:asciiTheme="minorHAnsi" w:eastAsia="Roboto (Body)" w:hAnsiTheme="minorHAnsi" w:cs="Roboto (Body)"/>
          <w:b w:val="0"/>
          <w:bCs w:val="0"/>
          <w:sz w:val="24"/>
          <w:szCs w:val="24"/>
        </w:rPr>
        <w:t xml:space="preserve"> and suggest that continued investment in workforce capacity, interdisciplinary training, and provider</w:t>
      </w:r>
      <w:r w:rsidR="00241AC9" w:rsidRPr="00475F52">
        <w:rPr>
          <w:rFonts w:asciiTheme="minorHAnsi" w:eastAsia="Roboto (Body)" w:hAnsiTheme="minorHAnsi" w:cs="Roboto (Body)"/>
          <w:b w:val="0"/>
          <w:bCs w:val="0"/>
          <w:sz w:val="24"/>
          <w:szCs w:val="24"/>
        </w:rPr>
        <w:t xml:space="preserve"> capacity for</w:t>
      </w:r>
      <w:r w:rsidRPr="00475F52">
        <w:rPr>
          <w:rFonts w:asciiTheme="minorHAnsi" w:eastAsia="Roboto (Body)" w:hAnsiTheme="minorHAnsi" w:cs="Roboto (Body)"/>
          <w:b w:val="0"/>
          <w:bCs w:val="0"/>
          <w:sz w:val="24"/>
          <w:szCs w:val="24"/>
        </w:rPr>
        <w:t xml:space="preserve"> availability </w:t>
      </w:r>
      <w:r w:rsidR="00241AC9" w:rsidRPr="00475F52">
        <w:rPr>
          <w:rFonts w:asciiTheme="minorHAnsi" w:eastAsia="Roboto (Body)" w:hAnsiTheme="minorHAnsi" w:cs="Roboto (Body)"/>
          <w:b w:val="0"/>
          <w:bCs w:val="0"/>
          <w:sz w:val="24"/>
          <w:szCs w:val="24"/>
        </w:rPr>
        <w:t xml:space="preserve">to engage in these activities </w:t>
      </w:r>
      <w:r w:rsidRPr="00475F52">
        <w:rPr>
          <w:rFonts w:asciiTheme="minorHAnsi" w:eastAsia="Roboto (Body)" w:hAnsiTheme="minorHAnsi" w:cs="Roboto (Body)"/>
          <w:b w:val="0"/>
          <w:bCs w:val="0"/>
          <w:sz w:val="24"/>
          <w:szCs w:val="24"/>
        </w:rPr>
        <w:t>will be essential to sustaining and strengthening ITCP implementation</w:t>
      </w:r>
      <w:r w:rsidR="00560DA3">
        <w:rPr>
          <w:rFonts w:asciiTheme="minorHAnsi" w:eastAsia="Roboto (Body)" w:hAnsiTheme="minorHAnsi" w:cs="Roboto (Body)"/>
          <w:b w:val="0"/>
          <w:bCs w:val="0"/>
          <w:sz w:val="24"/>
          <w:szCs w:val="24"/>
        </w:rPr>
        <w:t xml:space="preserve"> (</w:t>
      </w:r>
      <w:hyperlink r:id="rId33" w:history="1">
        <w:r w:rsidR="00560DA3" w:rsidRPr="00560DA3">
          <w:rPr>
            <w:rStyle w:val="Hyperlink"/>
            <w:rFonts w:eastAsia="Roboto (Body)" w:cs="Roboto (Body)"/>
            <w:bCs w:val="0"/>
            <w:sz w:val="24"/>
            <w:szCs w:val="24"/>
          </w:rPr>
          <w:t>Bunting et al., 2019</w:t>
        </w:r>
      </w:hyperlink>
      <w:r w:rsidR="00560DA3">
        <w:rPr>
          <w:rFonts w:asciiTheme="minorHAnsi" w:eastAsia="Roboto (Body)" w:hAnsiTheme="minorHAnsi" w:cs="Roboto (Body)"/>
          <w:b w:val="0"/>
          <w:bCs w:val="0"/>
          <w:sz w:val="24"/>
          <w:szCs w:val="24"/>
        </w:rPr>
        <w:t>).</w:t>
      </w:r>
    </w:p>
    <w:p w14:paraId="5B0F948F" w14:textId="77777777" w:rsidR="00CC7FF5" w:rsidRPr="00CC7FF5" w:rsidRDefault="00CC7FF5" w:rsidP="00CC7FF5"/>
    <w:p w14:paraId="0DE203E2" w14:textId="57AA9864" w:rsidR="008F23B6" w:rsidRPr="00492B2B" w:rsidRDefault="00E50BBC" w:rsidP="0030737F">
      <w:pPr>
        <w:pStyle w:val="Heading2"/>
        <w:rPr>
          <w:sz w:val="36"/>
          <w:szCs w:val="36"/>
        </w:rPr>
      </w:pPr>
      <w:r>
        <w:rPr>
          <w:sz w:val="36"/>
          <w:szCs w:val="36"/>
        </w:rPr>
        <w:lastRenderedPageBreak/>
        <w:t>State Leadership</w:t>
      </w:r>
      <w:bookmarkEnd w:id="13"/>
    </w:p>
    <w:p w14:paraId="19737F31" w14:textId="5C9C95D3" w:rsidR="00C74757" w:rsidRPr="00857A16" w:rsidRDefault="0031299E" w:rsidP="00857A16">
      <w:pPr>
        <w:pStyle w:val="BodyText1"/>
        <w:rPr>
          <w:sz w:val="24"/>
          <w:szCs w:val="24"/>
        </w:rPr>
      </w:pPr>
      <w:r>
        <w:rPr>
          <w:sz w:val="24"/>
          <w:szCs w:val="24"/>
        </w:rPr>
        <w:t xml:space="preserve">In October 2025, members of the State Advisory Leadership Team (SALT) participated in an embedded evaluation session during a scheduled meeting. Leadership participants completed a brief six-item Likert survey (n = 13) and engaged in structured small-group discussions aligned with workforce representation, applicant outreach, and family participation research </w:t>
      </w:r>
      <w:r w:rsidR="00A2608A">
        <w:rPr>
          <w:sz w:val="24"/>
          <w:szCs w:val="24"/>
        </w:rPr>
        <w:t>questions. This</w:t>
      </w:r>
      <w:r>
        <w:rPr>
          <w:sz w:val="24"/>
          <w:szCs w:val="24"/>
        </w:rPr>
        <w:t xml:space="preserve"> </w:t>
      </w:r>
      <w:r w:rsidR="00560DA3">
        <w:rPr>
          <w:sz w:val="24"/>
          <w:szCs w:val="24"/>
        </w:rPr>
        <w:t>method</w:t>
      </w:r>
      <w:r>
        <w:rPr>
          <w:sz w:val="24"/>
          <w:szCs w:val="24"/>
        </w:rPr>
        <w:t xml:space="preserve"> replaced the prior stand-alone survey model and resulted in higher engagement and </w:t>
      </w:r>
      <w:r w:rsidR="00560DA3">
        <w:rPr>
          <w:sz w:val="24"/>
          <w:szCs w:val="24"/>
        </w:rPr>
        <w:t>improved</w:t>
      </w:r>
      <w:r>
        <w:rPr>
          <w:sz w:val="24"/>
          <w:szCs w:val="24"/>
        </w:rPr>
        <w:t xml:space="preserve"> qualitative insight.</w:t>
      </w:r>
    </w:p>
    <w:p w14:paraId="0FA5EEAF" w14:textId="1641E15C" w:rsidR="0031299E" w:rsidRDefault="0031299E" w:rsidP="0031299E">
      <w:pPr>
        <w:pStyle w:val="Heading3"/>
        <w:rPr>
          <w:i/>
          <w:iCs/>
        </w:rPr>
      </w:pPr>
      <w:bookmarkStart w:id="14" w:name="_Toc193367519"/>
      <w:r>
        <w:rPr>
          <w:i/>
          <w:iCs/>
        </w:rPr>
        <w:t>Workforce Representation and Recruitment</w:t>
      </w:r>
    </w:p>
    <w:p w14:paraId="54946956" w14:textId="2ED79733" w:rsidR="0031299E" w:rsidRDefault="0031299E" w:rsidP="456BE292">
      <w:pPr>
        <w:jc w:val="left"/>
        <w:rPr>
          <w:rFonts w:asciiTheme="minorHAnsi" w:hAnsiTheme="minorHAnsi"/>
          <w:sz w:val="24"/>
          <w:szCs w:val="24"/>
        </w:rPr>
      </w:pPr>
      <w:r>
        <w:rPr>
          <w:rFonts w:asciiTheme="minorHAnsi" w:hAnsiTheme="minorHAnsi"/>
          <w:sz w:val="24"/>
          <w:szCs w:val="24"/>
        </w:rPr>
        <w:t xml:space="preserve">Survey findings suggest moderate agreement regarding inclusive hiring practices. </w:t>
      </w:r>
      <w:r w:rsidR="00560DA3">
        <w:rPr>
          <w:rFonts w:asciiTheme="minorHAnsi" w:hAnsiTheme="minorHAnsi"/>
          <w:sz w:val="24"/>
          <w:szCs w:val="24"/>
        </w:rPr>
        <w:t>Thirty-eight percent</w:t>
      </w:r>
      <w:r>
        <w:rPr>
          <w:rFonts w:asciiTheme="minorHAnsi" w:hAnsiTheme="minorHAnsi"/>
          <w:sz w:val="24"/>
          <w:szCs w:val="24"/>
        </w:rPr>
        <w:t xml:space="preserve"> </w:t>
      </w:r>
      <w:r w:rsidR="00560DA3">
        <w:rPr>
          <w:rFonts w:asciiTheme="minorHAnsi" w:hAnsiTheme="minorHAnsi"/>
          <w:sz w:val="24"/>
          <w:szCs w:val="24"/>
        </w:rPr>
        <w:t>(</w:t>
      </w:r>
      <w:r>
        <w:rPr>
          <w:rFonts w:asciiTheme="minorHAnsi" w:hAnsiTheme="minorHAnsi"/>
          <w:sz w:val="24"/>
          <w:szCs w:val="24"/>
        </w:rPr>
        <w:t>38%</w:t>
      </w:r>
      <w:r w:rsidR="00560DA3">
        <w:rPr>
          <w:rFonts w:asciiTheme="minorHAnsi" w:hAnsiTheme="minorHAnsi"/>
          <w:sz w:val="24"/>
          <w:szCs w:val="24"/>
        </w:rPr>
        <w:t>)</w:t>
      </w:r>
      <w:r>
        <w:rPr>
          <w:rFonts w:asciiTheme="minorHAnsi" w:hAnsiTheme="minorHAnsi"/>
          <w:sz w:val="24"/>
          <w:szCs w:val="24"/>
        </w:rPr>
        <w:t xml:space="preserve"> of respondents agreed that hiring practices encourage recruitment from a wide range of backgrounds, </w:t>
      </w:r>
      <w:r w:rsidR="00560DA3">
        <w:rPr>
          <w:rFonts w:asciiTheme="minorHAnsi" w:hAnsiTheme="minorHAnsi"/>
          <w:sz w:val="24"/>
          <w:szCs w:val="24"/>
        </w:rPr>
        <w:t>and</w:t>
      </w:r>
      <w:r>
        <w:rPr>
          <w:rFonts w:asciiTheme="minorHAnsi" w:hAnsiTheme="minorHAnsi"/>
          <w:sz w:val="24"/>
          <w:szCs w:val="24"/>
        </w:rPr>
        <w:t xml:space="preserve"> half </w:t>
      </w:r>
      <w:r w:rsidR="00560DA3">
        <w:rPr>
          <w:rFonts w:asciiTheme="minorHAnsi" w:hAnsiTheme="minorHAnsi"/>
          <w:sz w:val="24"/>
          <w:szCs w:val="24"/>
        </w:rPr>
        <w:t xml:space="preserve">of </w:t>
      </w:r>
      <w:r>
        <w:rPr>
          <w:rFonts w:asciiTheme="minorHAnsi" w:hAnsiTheme="minorHAnsi"/>
          <w:sz w:val="24"/>
          <w:szCs w:val="24"/>
        </w:rPr>
        <w:t xml:space="preserve">respondents (54%) selected neutral responses. </w:t>
      </w:r>
      <w:r w:rsidR="00FA088D">
        <w:rPr>
          <w:rFonts w:asciiTheme="minorHAnsi" w:hAnsiTheme="minorHAnsi"/>
          <w:sz w:val="24"/>
          <w:szCs w:val="24"/>
        </w:rPr>
        <w:t xml:space="preserve">Forty-six percent (46%) reported promotions were based on transparent criteria, and </w:t>
      </w:r>
      <w:r>
        <w:rPr>
          <w:rFonts w:asciiTheme="minorHAnsi" w:hAnsiTheme="minorHAnsi"/>
          <w:sz w:val="24"/>
          <w:szCs w:val="24"/>
        </w:rPr>
        <w:t xml:space="preserve">38% </w:t>
      </w:r>
      <w:r w:rsidR="00E1472E">
        <w:rPr>
          <w:rFonts w:asciiTheme="minorHAnsi" w:hAnsiTheme="minorHAnsi"/>
          <w:sz w:val="24"/>
          <w:szCs w:val="24"/>
        </w:rPr>
        <w:t>reported</w:t>
      </w:r>
      <w:r>
        <w:rPr>
          <w:rFonts w:asciiTheme="minorHAnsi" w:hAnsiTheme="minorHAnsi"/>
          <w:sz w:val="24"/>
          <w:szCs w:val="24"/>
        </w:rPr>
        <w:t xml:space="preserve"> that the current workforce reflects the demographic characteristics of families served, </w:t>
      </w:r>
      <w:r w:rsidR="0016519A">
        <w:rPr>
          <w:rFonts w:asciiTheme="minorHAnsi" w:hAnsiTheme="minorHAnsi"/>
          <w:sz w:val="24"/>
          <w:szCs w:val="24"/>
        </w:rPr>
        <w:t>while</w:t>
      </w:r>
      <w:r>
        <w:rPr>
          <w:rFonts w:asciiTheme="minorHAnsi" w:hAnsiTheme="minorHAnsi"/>
          <w:sz w:val="24"/>
          <w:szCs w:val="24"/>
        </w:rPr>
        <w:t xml:space="preserve"> 3</w:t>
      </w:r>
      <w:r w:rsidR="004F7C20">
        <w:rPr>
          <w:rFonts w:asciiTheme="minorHAnsi" w:hAnsiTheme="minorHAnsi"/>
          <w:sz w:val="24"/>
          <w:szCs w:val="24"/>
        </w:rPr>
        <w:t>8</w:t>
      </w:r>
      <w:r>
        <w:rPr>
          <w:rFonts w:asciiTheme="minorHAnsi" w:hAnsiTheme="minorHAnsi"/>
          <w:sz w:val="24"/>
          <w:szCs w:val="24"/>
        </w:rPr>
        <w:t>% indicat</w:t>
      </w:r>
      <w:r w:rsidR="00E1472E">
        <w:rPr>
          <w:rFonts w:asciiTheme="minorHAnsi" w:hAnsiTheme="minorHAnsi"/>
          <w:sz w:val="24"/>
          <w:szCs w:val="24"/>
        </w:rPr>
        <w:t>ed</w:t>
      </w:r>
      <w:r>
        <w:rPr>
          <w:rFonts w:asciiTheme="minorHAnsi" w:hAnsiTheme="minorHAnsi"/>
          <w:sz w:val="24"/>
          <w:szCs w:val="24"/>
        </w:rPr>
        <w:t xml:space="preserve"> disagreement </w:t>
      </w:r>
      <w:r w:rsidR="0016519A">
        <w:rPr>
          <w:rFonts w:asciiTheme="minorHAnsi" w:hAnsiTheme="minorHAnsi"/>
          <w:sz w:val="24"/>
          <w:szCs w:val="24"/>
        </w:rPr>
        <w:t>that the workforce is reflective of the service population</w:t>
      </w:r>
      <w:r>
        <w:rPr>
          <w:rFonts w:asciiTheme="minorHAnsi" w:hAnsiTheme="minorHAnsi"/>
          <w:sz w:val="24"/>
          <w:szCs w:val="24"/>
        </w:rPr>
        <w:t xml:space="preserve"> (Figure 6).</w:t>
      </w:r>
    </w:p>
    <w:p w14:paraId="12F024BD" w14:textId="41DA1042" w:rsidR="00A71475" w:rsidRDefault="00A71475" w:rsidP="00A71475">
      <w:pPr>
        <w:pStyle w:val="Caption"/>
        <w:spacing w:before="0" w:after="0"/>
        <w:jc w:val="left"/>
        <w:rPr>
          <w:i w:val="0"/>
          <w:iCs w:val="0"/>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sidR="00451346">
        <w:rPr>
          <w:noProof/>
          <w:color w:val="auto"/>
          <w:sz w:val="22"/>
          <w:szCs w:val="22"/>
        </w:rPr>
        <w:t>6</w:t>
      </w:r>
      <w:r>
        <w:rPr>
          <w:color w:val="auto"/>
          <w:sz w:val="22"/>
          <w:szCs w:val="22"/>
        </w:rPr>
        <w:fldChar w:fldCharType="end"/>
      </w:r>
      <w:r>
        <w:rPr>
          <w:color w:val="auto"/>
          <w:sz w:val="22"/>
          <w:szCs w:val="22"/>
        </w:rPr>
        <w:t>. Workforce Representation and Recruitment Survey Results (n = 13)</w:t>
      </w:r>
    </w:p>
    <w:p w14:paraId="21BE1618" w14:textId="77777777" w:rsidR="00A71475" w:rsidRDefault="00A71475" w:rsidP="00A71475">
      <w:pPr>
        <w:spacing w:before="0" w:after="80" w:line="240" w:lineRule="auto"/>
        <w:jc w:val="left"/>
      </w:pPr>
      <w:r>
        <w:rPr>
          <w:noProof/>
        </w:rPr>
        <w:drawing>
          <wp:inline distT="0" distB="0" distL="0" distR="0" wp14:anchorId="14624960" wp14:editId="06AFC36F">
            <wp:extent cx="6208869" cy="2472856"/>
            <wp:effectExtent l="0" t="0" r="1905" b="3810"/>
            <wp:docPr id="9906" name="drawing"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 name="Picture 9906"/>
                    <pic:cNvPicPr/>
                  </pic:nvPicPr>
                  <pic:blipFill>
                    <a:blip r:embed="rId34">
                      <a:extLst>
                        <a:ext uri="{28A0092B-C50C-407E-A947-70E740481C1C}">
                          <a14:useLocalDpi xmlns:a14="http://schemas.microsoft.com/office/drawing/2010/main"/>
                        </a:ext>
                      </a:extLst>
                    </a:blip>
                    <a:stretch>
                      <a:fillRect/>
                    </a:stretch>
                  </pic:blipFill>
                  <pic:spPr>
                    <a:xfrm>
                      <a:off x="0" y="0"/>
                      <a:ext cx="6220074" cy="2477319"/>
                    </a:xfrm>
                    <a:prstGeom prst="rect">
                      <a:avLst/>
                    </a:prstGeom>
                  </pic:spPr>
                </pic:pic>
              </a:graphicData>
            </a:graphic>
          </wp:inline>
        </w:drawing>
      </w:r>
    </w:p>
    <w:p w14:paraId="5C99F88F" w14:textId="653A4386" w:rsidR="0031299E" w:rsidRPr="0031299E" w:rsidRDefault="00156AB9" w:rsidP="456BE292">
      <w:p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Information obtained through </w:t>
      </w:r>
      <w:r w:rsidR="0031299E">
        <w:rPr>
          <w:rFonts w:asciiTheme="minorHAnsi" w:eastAsiaTheme="minorEastAsia" w:hAnsiTheme="minorHAnsi" w:cstheme="minorBidi"/>
          <w:sz w:val="24"/>
          <w:szCs w:val="24"/>
        </w:rPr>
        <w:t xml:space="preserve">discussion reinforced the importance of valuing lived experience </w:t>
      </w:r>
      <w:r w:rsidR="009B4462">
        <w:rPr>
          <w:rFonts w:asciiTheme="minorHAnsi" w:eastAsiaTheme="minorEastAsia" w:hAnsiTheme="minorHAnsi" w:cstheme="minorBidi"/>
          <w:sz w:val="24"/>
          <w:szCs w:val="24"/>
        </w:rPr>
        <w:t>combined with</w:t>
      </w:r>
      <w:r w:rsidR="0031299E">
        <w:rPr>
          <w:rFonts w:asciiTheme="minorHAnsi" w:eastAsiaTheme="minorEastAsia" w:hAnsiTheme="minorHAnsi" w:cstheme="minorBidi"/>
          <w:sz w:val="24"/>
          <w:szCs w:val="24"/>
        </w:rPr>
        <w:t xml:space="preserve"> formal education in recruitment decisions. Leadership participants emphasized</w:t>
      </w:r>
      <w:r w:rsidR="009B4462">
        <w:rPr>
          <w:rFonts w:asciiTheme="minorHAnsi" w:eastAsiaTheme="minorEastAsia" w:hAnsiTheme="minorHAnsi" w:cstheme="minorBidi"/>
          <w:sz w:val="24"/>
          <w:szCs w:val="24"/>
        </w:rPr>
        <w:t xml:space="preserve"> the need to</w:t>
      </w:r>
      <w:r w:rsidR="0031299E">
        <w:rPr>
          <w:rFonts w:asciiTheme="minorHAnsi" w:eastAsiaTheme="minorEastAsia" w:hAnsiTheme="minorHAnsi" w:cstheme="minorBidi"/>
          <w:sz w:val="24"/>
          <w:szCs w:val="24"/>
        </w:rPr>
        <w:t>:</w:t>
      </w:r>
    </w:p>
    <w:p w14:paraId="19E16A81" w14:textId="3FF92E52" w:rsidR="0031299E" w:rsidRPr="0031299E" w:rsidRDefault="0031299E" w:rsidP="456BE292">
      <w:pPr>
        <w:numPr>
          <w:ilvl w:val="0"/>
          <w:numId w:val="49"/>
        </w:num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Broaden qualification</w:t>
      </w:r>
      <w:r w:rsidR="009B4462">
        <w:rPr>
          <w:rFonts w:asciiTheme="minorHAnsi" w:eastAsiaTheme="minorEastAsia" w:hAnsiTheme="minorHAnsi" w:cstheme="minorBidi"/>
          <w:sz w:val="24"/>
          <w:szCs w:val="24"/>
        </w:rPr>
        <w:t>s</w:t>
      </w:r>
      <w:r>
        <w:rPr>
          <w:rFonts w:asciiTheme="minorHAnsi" w:eastAsiaTheme="minorEastAsia" w:hAnsiTheme="minorHAnsi" w:cstheme="minorBidi"/>
          <w:sz w:val="24"/>
          <w:szCs w:val="24"/>
        </w:rPr>
        <w:t xml:space="preserve"> (e.g., combining associate degrees with lived experience)</w:t>
      </w:r>
    </w:p>
    <w:p w14:paraId="77BFA78F" w14:textId="77777777" w:rsidR="0031299E" w:rsidRPr="0031299E" w:rsidRDefault="0031299E" w:rsidP="456BE292">
      <w:pPr>
        <w:numPr>
          <w:ilvl w:val="0"/>
          <w:numId w:val="49"/>
        </w:num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Securing stable funding to retain workforce</w:t>
      </w:r>
    </w:p>
    <w:p w14:paraId="0E8C0AD8" w14:textId="77777777" w:rsidR="0031299E" w:rsidRPr="0031299E" w:rsidRDefault="0031299E" w:rsidP="456BE292">
      <w:pPr>
        <w:numPr>
          <w:ilvl w:val="0"/>
          <w:numId w:val="49"/>
        </w:num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Offering reflective consultation to prevent burnout</w:t>
      </w:r>
    </w:p>
    <w:p w14:paraId="2D88B78B" w14:textId="77777777" w:rsidR="0031299E" w:rsidRPr="0031299E" w:rsidRDefault="0031299E" w:rsidP="456BE292">
      <w:pPr>
        <w:numPr>
          <w:ilvl w:val="0"/>
          <w:numId w:val="49"/>
        </w:numPr>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t>Maintaining diversity of professional roles and perspectives across teams</w:t>
      </w:r>
    </w:p>
    <w:p w14:paraId="4C3E690E" w14:textId="77777777" w:rsidR="00AC53D8" w:rsidRDefault="00AC53D8" w:rsidP="456BE292">
      <w:pPr>
        <w:jc w:val="left"/>
        <w:rPr>
          <w:rFonts w:eastAsia="Roboto" w:cs="Roboto"/>
          <w:sz w:val="24"/>
          <w:szCs w:val="24"/>
        </w:rPr>
      </w:pPr>
    </w:p>
    <w:p w14:paraId="6F93EAD1" w14:textId="77777777" w:rsidR="00AC53D8" w:rsidRDefault="00AC53D8" w:rsidP="456BE292">
      <w:pPr>
        <w:jc w:val="left"/>
        <w:rPr>
          <w:rFonts w:eastAsia="Roboto" w:cs="Roboto"/>
          <w:sz w:val="24"/>
          <w:szCs w:val="24"/>
        </w:rPr>
      </w:pPr>
    </w:p>
    <w:p w14:paraId="70F61660" w14:textId="5585FD70" w:rsidR="0031299E" w:rsidRPr="0031299E" w:rsidRDefault="1240F849" w:rsidP="456BE292">
      <w:pPr>
        <w:jc w:val="left"/>
        <w:rPr>
          <w:rFonts w:asciiTheme="minorHAnsi" w:eastAsiaTheme="minorEastAsia" w:hAnsiTheme="minorHAnsi" w:cstheme="minorBidi"/>
          <w:sz w:val="24"/>
          <w:szCs w:val="24"/>
        </w:rPr>
      </w:pPr>
      <w:r>
        <w:rPr>
          <w:rFonts w:eastAsia="Roboto" w:cs="Roboto"/>
          <w:sz w:val="24"/>
          <w:szCs w:val="24"/>
        </w:rPr>
        <w:t>FY2025 findings were consistent with</w:t>
      </w:r>
      <w:r w:rsidR="00AC53D8">
        <w:rPr>
          <w:rFonts w:eastAsia="Roboto" w:cs="Roboto"/>
          <w:sz w:val="24"/>
          <w:szCs w:val="24"/>
        </w:rPr>
        <w:t xml:space="preserve"> those from</w:t>
      </w:r>
      <w:r>
        <w:rPr>
          <w:rFonts w:eastAsia="Roboto" w:cs="Roboto"/>
          <w:sz w:val="24"/>
          <w:szCs w:val="24"/>
        </w:rPr>
        <w:t xml:space="preserve"> FY2024 in highlighting ongoing concerns about workforce diversity and recruitment. </w:t>
      </w:r>
      <w:r w:rsidR="00AC53D8">
        <w:rPr>
          <w:rFonts w:eastAsia="Roboto" w:cs="Roboto"/>
          <w:sz w:val="24"/>
          <w:szCs w:val="24"/>
        </w:rPr>
        <w:t>In</w:t>
      </w:r>
      <w:r>
        <w:rPr>
          <w:rFonts w:eastAsia="Roboto" w:cs="Roboto"/>
          <w:sz w:val="24"/>
          <w:szCs w:val="24"/>
        </w:rPr>
        <w:t xml:space="preserve"> both years, respondents noted that </w:t>
      </w:r>
      <w:r w:rsidR="008C33A7">
        <w:rPr>
          <w:rFonts w:eastAsia="Roboto" w:cs="Roboto"/>
          <w:sz w:val="24"/>
          <w:szCs w:val="24"/>
        </w:rPr>
        <w:t xml:space="preserve">overall </w:t>
      </w:r>
      <w:r>
        <w:rPr>
          <w:rFonts w:eastAsia="Roboto" w:cs="Roboto"/>
          <w:sz w:val="24"/>
          <w:szCs w:val="24"/>
        </w:rPr>
        <w:t>ITCP agencies and staff were not representative</w:t>
      </w:r>
      <w:r w:rsidR="008C33A7">
        <w:rPr>
          <w:rFonts w:eastAsia="Roboto" w:cs="Roboto"/>
          <w:sz w:val="24"/>
          <w:szCs w:val="24"/>
        </w:rPr>
        <w:t xml:space="preserve"> </w:t>
      </w:r>
      <w:r>
        <w:rPr>
          <w:rFonts w:eastAsia="Roboto" w:cs="Roboto"/>
          <w:sz w:val="24"/>
          <w:szCs w:val="24"/>
        </w:rPr>
        <w:t>of the families served and emphasized the need to broaden applicant pools and strengthen inclusive hiring practices.</w:t>
      </w:r>
      <w:r w:rsidR="008C33A7">
        <w:rPr>
          <w:rFonts w:eastAsia="Roboto" w:cs="Roboto"/>
          <w:sz w:val="24"/>
          <w:szCs w:val="24"/>
        </w:rPr>
        <w:t xml:space="preserve"> </w:t>
      </w:r>
      <w:r w:rsidR="0031299E">
        <w:rPr>
          <w:rFonts w:asciiTheme="minorHAnsi" w:eastAsiaTheme="minorEastAsia" w:hAnsiTheme="minorHAnsi" w:cstheme="minorBidi"/>
          <w:sz w:val="24"/>
          <w:szCs w:val="24"/>
        </w:rPr>
        <w:t xml:space="preserve">These </w:t>
      </w:r>
      <w:r w:rsidR="008C33A7">
        <w:rPr>
          <w:rFonts w:asciiTheme="minorHAnsi" w:eastAsiaTheme="minorEastAsia" w:hAnsiTheme="minorHAnsi" w:cstheme="minorBidi"/>
          <w:sz w:val="24"/>
          <w:szCs w:val="24"/>
        </w:rPr>
        <w:t>results</w:t>
      </w:r>
      <w:r w:rsidR="0031299E">
        <w:rPr>
          <w:rFonts w:asciiTheme="minorHAnsi" w:eastAsiaTheme="minorEastAsia" w:hAnsiTheme="minorHAnsi" w:cstheme="minorBidi"/>
          <w:sz w:val="24"/>
          <w:szCs w:val="24"/>
        </w:rPr>
        <w:t xml:space="preserve"> suggest a</w:t>
      </w:r>
      <w:r w:rsidR="008C33A7">
        <w:rPr>
          <w:rFonts w:asciiTheme="minorHAnsi" w:eastAsiaTheme="minorEastAsia" w:hAnsiTheme="minorHAnsi" w:cstheme="minorBidi"/>
          <w:sz w:val="24"/>
          <w:szCs w:val="24"/>
        </w:rPr>
        <w:t xml:space="preserve"> need for</w:t>
      </w:r>
      <w:r w:rsidR="0031299E">
        <w:rPr>
          <w:rFonts w:asciiTheme="minorHAnsi" w:eastAsiaTheme="minorEastAsia" w:hAnsiTheme="minorHAnsi" w:cstheme="minorBidi"/>
          <w:sz w:val="24"/>
          <w:szCs w:val="24"/>
        </w:rPr>
        <w:t xml:space="preserve"> shared commitment to representation, coupled with recognition that further structural alignment is needed.</w:t>
      </w:r>
    </w:p>
    <w:p w14:paraId="067D770F" w14:textId="0A417C2E" w:rsidR="0031299E" w:rsidRDefault="0031299E" w:rsidP="0031299E">
      <w:pPr>
        <w:pStyle w:val="Heading3"/>
        <w:rPr>
          <w:i/>
          <w:iCs/>
        </w:rPr>
      </w:pPr>
      <w:r>
        <w:rPr>
          <w:i/>
          <w:iCs/>
        </w:rPr>
        <w:t>Applicant Outreach and Workforce Capacity</w:t>
      </w:r>
    </w:p>
    <w:p w14:paraId="34E49B78" w14:textId="6C24857F" w:rsidR="0031299E" w:rsidRPr="0031299E" w:rsidRDefault="0031299E" w:rsidP="456BE292">
      <w:pPr>
        <w:jc w:val="left"/>
        <w:rPr>
          <w:rFonts w:asciiTheme="minorHAnsi" w:hAnsiTheme="minorHAnsi"/>
          <w:sz w:val="24"/>
          <w:szCs w:val="24"/>
        </w:rPr>
      </w:pPr>
      <w:r>
        <w:rPr>
          <w:rFonts w:asciiTheme="minorHAnsi" w:hAnsiTheme="minorHAnsi"/>
          <w:sz w:val="24"/>
          <w:szCs w:val="24"/>
        </w:rPr>
        <w:t xml:space="preserve">Leadership discussions highlighted workforce capacity as a primary system constraint. Participants </w:t>
      </w:r>
      <w:r w:rsidR="008C33A7">
        <w:rPr>
          <w:rFonts w:asciiTheme="minorHAnsi" w:hAnsiTheme="minorHAnsi"/>
          <w:sz w:val="24"/>
          <w:szCs w:val="24"/>
        </w:rPr>
        <w:t>reported l</w:t>
      </w:r>
      <w:r>
        <w:rPr>
          <w:rFonts w:asciiTheme="minorHAnsi" w:hAnsiTheme="minorHAnsi"/>
          <w:sz w:val="24"/>
          <w:szCs w:val="24"/>
        </w:rPr>
        <w:t>imited availability of attorneys</w:t>
      </w:r>
      <w:r w:rsidR="008C33A7">
        <w:rPr>
          <w:rFonts w:asciiTheme="minorHAnsi" w:hAnsiTheme="minorHAnsi"/>
          <w:sz w:val="24"/>
          <w:szCs w:val="24"/>
        </w:rPr>
        <w:t xml:space="preserve"> for clients</w:t>
      </w:r>
      <w:r>
        <w:rPr>
          <w:rFonts w:asciiTheme="minorHAnsi" w:hAnsiTheme="minorHAnsi"/>
          <w:sz w:val="24"/>
          <w:szCs w:val="24"/>
        </w:rPr>
        <w:t xml:space="preserve"> and increasing time demands </w:t>
      </w:r>
      <w:r w:rsidR="008C33A7">
        <w:rPr>
          <w:rFonts w:asciiTheme="minorHAnsi" w:hAnsiTheme="minorHAnsi"/>
          <w:sz w:val="24"/>
          <w:szCs w:val="24"/>
        </w:rPr>
        <w:t>of</w:t>
      </w:r>
      <w:r>
        <w:rPr>
          <w:rFonts w:asciiTheme="minorHAnsi" w:hAnsiTheme="minorHAnsi"/>
          <w:sz w:val="24"/>
          <w:szCs w:val="24"/>
        </w:rPr>
        <w:t xml:space="preserve"> the Safe Babies </w:t>
      </w:r>
      <w:r w:rsidR="008C33A7">
        <w:rPr>
          <w:rFonts w:asciiTheme="minorHAnsi" w:hAnsiTheme="minorHAnsi"/>
          <w:sz w:val="24"/>
          <w:szCs w:val="24"/>
        </w:rPr>
        <w:t xml:space="preserve">approach </w:t>
      </w:r>
      <w:r>
        <w:rPr>
          <w:rFonts w:asciiTheme="minorHAnsi" w:hAnsiTheme="minorHAnsi"/>
          <w:sz w:val="24"/>
          <w:szCs w:val="24"/>
        </w:rPr>
        <w:t>relative to traditional court processes.</w:t>
      </w:r>
    </w:p>
    <w:p w14:paraId="412D09AF" w14:textId="3E236BA2" w:rsidR="0031299E" w:rsidRPr="0031299E" w:rsidRDefault="008C33A7" w:rsidP="456BE292">
      <w:pPr>
        <w:jc w:val="left"/>
        <w:rPr>
          <w:rFonts w:asciiTheme="minorHAnsi" w:hAnsiTheme="minorHAnsi"/>
          <w:sz w:val="24"/>
          <w:szCs w:val="24"/>
        </w:rPr>
      </w:pPr>
      <w:r>
        <w:rPr>
          <w:rFonts w:asciiTheme="minorHAnsi" w:hAnsiTheme="minorHAnsi"/>
          <w:sz w:val="24"/>
          <w:szCs w:val="24"/>
        </w:rPr>
        <w:t>S</w:t>
      </w:r>
      <w:r w:rsidR="0031299E">
        <w:rPr>
          <w:rFonts w:asciiTheme="minorHAnsi" w:hAnsiTheme="minorHAnsi"/>
          <w:sz w:val="24"/>
          <w:szCs w:val="24"/>
        </w:rPr>
        <w:t xml:space="preserve">urvey responses regarding outreach challenges (Figure 7), </w:t>
      </w:r>
      <w:r w:rsidR="00160227">
        <w:rPr>
          <w:rFonts w:asciiTheme="minorHAnsi" w:hAnsiTheme="minorHAnsi"/>
          <w:sz w:val="24"/>
          <w:szCs w:val="24"/>
        </w:rPr>
        <w:t>indicated 17% agreed that applicants encountered challenges. Q</w:t>
      </w:r>
      <w:r w:rsidR="0031299E">
        <w:rPr>
          <w:rFonts w:asciiTheme="minorHAnsi" w:hAnsiTheme="minorHAnsi"/>
          <w:sz w:val="24"/>
          <w:szCs w:val="24"/>
        </w:rPr>
        <w:t xml:space="preserve">ualitative </w:t>
      </w:r>
      <w:r w:rsidR="000C12FD">
        <w:rPr>
          <w:rFonts w:asciiTheme="minorHAnsi" w:hAnsiTheme="minorHAnsi"/>
          <w:sz w:val="24"/>
          <w:szCs w:val="24"/>
        </w:rPr>
        <w:t xml:space="preserve">results </w:t>
      </w:r>
      <w:r w:rsidR="00160227">
        <w:rPr>
          <w:rFonts w:asciiTheme="minorHAnsi" w:hAnsiTheme="minorHAnsi"/>
          <w:sz w:val="24"/>
          <w:szCs w:val="24"/>
        </w:rPr>
        <w:t>suggested some</w:t>
      </w:r>
      <w:r w:rsidR="000C12FD">
        <w:rPr>
          <w:rFonts w:asciiTheme="minorHAnsi" w:hAnsiTheme="minorHAnsi"/>
          <w:sz w:val="24"/>
          <w:szCs w:val="24"/>
        </w:rPr>
        <w:t xml:space="preserve"> </w:t>
      </w:r>
      <w:r w:rsidR="0031299E">
        <w:rPr>
          <w:rFonts w:asciiTheme="minorHAnsi" w:hAnsiTheme="minorHAnsi"/>
          <w:sz w:val="24"/>
          <w:szCs w:val="24"/>
        </w:rPr>
        <w:t xml:space="preserve">concern about workload demands and the need for </w:t>
      </w:r>
      <w:proofErr w:type="gramStart"/>
      <w:r w:rsidR="00CB139D">
        <w:rPr>
          <w:rFonts w:asciiTheme="minorHAnsi" w:hAnsiTheme="minorHAnsi"/>
          <w:sz w:val="24"/>
          <w:szCs w:val="24"/>
        </w:rPr>
        <w:t>more clear</w:t>
      </w:r>
      <w:proofErr w:type="gramEnd"/>
      <w:r w:rsidR="00CB139D">
        <w:rPr>
          <w:rFonts w:asciiTheme="minorHAnsi" w:hAnsiTheme="minorHAnsi"/>
          <w:sz w:val="24"/>
          <w:szCs w:val="24"/>
        </w:rPr>
        <w:t xml:space="preserve"> </w:t>
      </w:r>
      <w:r w:rsidR="0031299E">
        <w:rPr>
          <w:rFonts w:asciiTheme="minorHAnsi" w:hAnsiTheme="minorHAnsi"/>
          <w:sz w:val="24"/>
          <w:szCs w:val="24"/>
        </w:rPr>
        <w:t xml:space="preserve">communication between meetings. </w:t>
      </w:r>
      <w:r w:rsidR="00160227">
        <w:rPr>
          <w:rFonts w:asciiTheme="minorHAnsi" w:hAnsiTheme="minorHAnsi"/>
          <w:sz w:val="24"/>
          <w:szCs w:val="24"/>
        </w:rPr>
        <w:t>To address the concern, p</w:t>
      </w:r>
      <w:r w:rsidR="0031299E">
        <w:rPr>
          <w:rFonts w:asciiTheme="minorHAnsi" w:hAnsiTheme="minorHAnsi"/>
          <w:sz w:val="24"/>
          <w:szCs w:val="24"/>
        </w:rPr>
        <w:t>articipants expressed interest in:</w:t>
      </w:r>
    </w:p>
    <w:p w14:paraId="77D9562A" w14:textId="77777777" w:rsidR="0031299E" w:rsidRPr="0031299E" w:rsidRDefault="0031299E" w:rsidP="456BE292">
      <w:pPr>
        <w:numPr>
          <w:ilvl w:val="0"/>
          <w:numId w:val="50"/>
        </w:numPr>
        <w:jc w:val="left"/>
        <w:rPr>
          <w:rFonts w:asciiTheme="minorHAnsi" w:hAnsiTheme="minorHAnsi"/>
          <w:sz w:val="24"/>
          <w:szCs w:val="24"/>
        </w:rPr>
      </w:pPr>
      <w:r>
        <w:rPr>
          <w:rFonts w:asciiTheme="minorHAnsi" w:hAnsiTheme="minorHAnsi"/>
          <w:sz w:val="24"/>
          <w:szCs w:val="24"/>
        </w:rPr>
        <w:t>More intentional use of leadership time</w:t>
      </w:r>
    </w:p>
    <w:p w14:paraId="67CB700F" w14:textId="77777777" w:rsidR="0031299E" w:rsidRPr="0031299E" w:rsidRDefault="0031299E" w:rsidP="456BE292">
      <w:pPr>
        <w:numPr>
          <w:ilvl w:val="0"/>
          <w:numId w:val="50"/>
        </w:numPr>
        <w:jc w:val="left"/>
        <w:rPr>
          <w:rFonts w:asciiTheme="minorHAnsi" w:hAnsiTheme="minorHAnsi"/>
          <w:sz w:val="24"/>
          <w:szCs w:val="24"/>
        </w:rPr>
      </w:pPr>
      <w:r>
        <w:rPr>
          <w:rFonts w:asciiTheme="minorHAnsi" w:hAnsiTheme="minorHAnsi"/>
          <w:sz w:val="24"/>
          <w:szCs w:val="24"/>
        </w:rPr>
        <w:t>Clearer differentiation between informational and action-oriented agenda items</w:t>
      </w:r>
    </w:p>
    <w:p w14:paraId="0296D162" w14:textId="77777777" w:rsidR="0031299E" w:rsidRPr="0031299E" w:rsidRDefault="0031299E" w:rsidP="456BE292">
      <w:pPr>
        <w:numPr>
          <w:ilvl w:val="0"/>
          <w:numId w:val="50"/>
        </w:numPr>
        <w:jc w:val="left"/>
        <w:rPr>
          <w:rFonts w:asciiTheme="minorHAnsi" w:hAnsiTheme="minorHAnsi"/>
          <w:sz w:val="24"/>
          <w:szCs w:val="24"/>
        </w:rPr>
      </w:pPr>
      <w:r>
        <w:rPr>
          <w:rFonts w:asciiTheme="minorHAnsi" w:hAnsiTheme="minorHAnsi"/>
          <w:sz w:val="24"/>
          <w:szCs w:val="24"/>
        </w:rPr>
        <w:t>Structured mechanisms for contributing between meetings</w:t>
      </w:r>
    </w:p>
    <w:p w14:paraId="5F4A6C32" w14:textId="7C326AFC" w:rsidR="0031299E" w:rsidRDefault="0031299E" w:rsidP="456BE292">
      <w:pPr>
        <w:jc w:val="left"/>
        <w:rPr>
          <w:rFonts w:asciiTheme="minorHAnsi" w:hAnsiTheme="minorHAnsi"/>
          <w:sz w:val="24"/>
          <w:szCs w:val="24"/>
        </w:rPr>
      </w:pPr>
      <w:r>
        <w:rPr>
          <w:rFonts w:asciiTheme="minorHAnsi" w:hAnsiTheme="minorHAnsi"/>
          <w:sz w:val="24"/>
          <w:szCs w:val="24"/>
        </w:rPr>
        <w:t xml:space="preserve">Leadership also emphasized that the Safe Babies </w:t>
      </w:r>
      <w:r w:rsidR="00160227">
        <w:rPr>
          <w:rFonts w:asciiTheme="minorHAnsi" w:hAnsiTheme="minorHAnsi"/>
          <w:sz w:val="24"/>
          <w:szCs w:val="24"/>
        </w:rPr>
        <w:t>approach</w:t>
      </w:r>
      <w:r>
        <w:rPr>
          <w:rFonts w:asciiTheme="minorHAnsi" w:hAnsiTheme="minorHAnsi"/>
          <w:sz w:val="24"/>
          <w:szCs w:val="24"/>
        </w:rPr>
        <w:t xml:space="preserve"> is adaptable and may allow for hybrid or flexible implementation approaches, particularly in rural areas.</w:t>
      </w:r>
    </w:p>
    <w:p w14:paraId="14DD0001" w14:textId="7081A1DC" w:rsidR="00823167" w:rsidRDefault="00973F31" w:rsidP="456BE292">
      <w:pPr>
        <w:pStyle w:val="Caption"/>
        <w:spacing w:before="0" w:after="0"/>
        <w:jc w:val="left"/>
        <w:rPr>
          <w:i w:val="0"/>
          <w:iCs w:val="0"/>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sidR="00451346">
        <w:rPr>
          <w:noProof/>
          <w:color w:val="auto"/>
          <w:sz w:val="22"/>
          <w:szCs w:val="22"/>
        </w:rPr>
        <w:t>7</w:t>
      </w:r>
      <w:r>
        <w:rPr>
          <w:color w:val="auto"/>
          <w:sz w:val="22"/>
          <w:szCs w:val="22"/>
        </w:rPr>
        <w:fldChar w:fldCharType="end"/>
      </w:r>
      <w:r>
        <w:rPr>
          <w:color w:val="auto"/>
          <w:sz w:val="22"/>
          <w:szCs w:val="22"/>
        </w:rPr>
        <w:t>. Applicant Outreach and Workforce Capacity Survey Results (n = 12)</w:t>
      </w:r>
    </w:p>
    <w:p w14:paraId="14DD0002" w14:textId="14DD0002" w:rsidR="00823167" w:rsidRDefault="00973F31" w:rsidP="456BE292">
      <w:pPr>
        <w:spacing w:before="0" w:after="80" w:line="240" w:lineRule="auto"/>
        <w:jc w:val="left"/>
      </w:pPr>
      <w:r>
        <w:rPr>
          <w:noProof/>
        </w:rPr>
        <w:drawing>
          <wp:inline distT="0" distB="0" distL="0" distR="0" wp14:anchorId="14DD0004" wp14:editId="605C5AA5">
            <wp:extent cx="3999506" cy="2593086"/>
            <wp:effectExtent l="0" t="0" r="1270" b="0"/>
            <wp:docPr id="9907" name="drawing"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 name="Picture 9907"/>
                    <pic:cNvPicPr/>
                  </pic:nvPicPr>
                  <pic:blipFill>
                    <a:blip r:embed="rId35">
                      <a:extLst>
                        <a:ext uri="{28A0092B-C50C-407E-A947-70E740481C1C}">
                          <a14:useLocalDpi xmlns:a14="http://schemas.microsoft.com/office/drawing/2010/main"/>
                        </a:ext>
                      </a:extLst>
                    </a:blip>
                    <a:stretch>
                      <a:fillRect/>
                    </a:stretch>
                  </pic:blipFill>
                  <pic:spPr>
                    <a:xfrm>
                      <a:off x="0" y="0"/>
                      <a:ext cx="4002801" cy="2595222"/>
                    </a:xfrm>
                    <a:prstGeom prst="rect">
                      <a:avLst/>
                    </a:prstGeom>
                  </pic:spPr>
                </pic:pic>
              </a:graphicData>
            </a:graphic>
          </wp:inline>
        </w:drawing>
      </w:r>
    </w:p>
    <w:p w14:paraId="104CBD85" w14:textId="77777777" w:rsidR="00CE41AF" w:rsidRDefault="00CE41AF" w:rsidP="0031299E">
      <w:pPr>
        <w:pStyle w:val="Heading3"/>
        <w:rPr>
          <w:i/>
          <w:iCs/>
        </w:rPr>
      </w:pPr>
    </w:p>
    <w:p w14:paraId="428CCDC9" w14:textId="22FE493F" w:rsidR="0031299E" w:rsidRDefault="0031299E" w:rsidP="0031299E">
      <w:pPr>
        <w:pStyle w:val="Heading3"/>
        <w:rPr>
          <w:i/>
          <w:iCs/>
        </w:rPr>
      </w:pPr>
      <w:r>
        <w:rPr>
          <w:i/>
          <w:iCs/>
        </w:rPr>
        <w:lastRenderedPageBreak/>
        <w:t>Equity in Family Participation</w:t>
      </w:r>
    </w:p>
    <w:p w14:paraId="60075F12" w14:textId="76C03AD9" w:rsidR="00524D0E" w:rsidRDefault="0031299E" w:rsidP="456BE292">
      <w:pPr>
        <w:jc w:val="left"/>
        <w:rPr>
          <w:rFonts w:asciiTheme="minorHAnsi" w:hAnsiTheme="minorHAnsi"/>
          <w:sz w:val="24"/>
          <w:szCs w:val="24"/>
        </w:rPr>
      </w:pPr>
      <w:r>
        <w:rPr>
          <w:rFonts w:asciiTheme="minorHAnsi" w:hAnsiTheme="minorHAnsi"/>
          <w:sz w:val="24"/>
          <w:szCs w:val="24"/>
        </w:rPr>
        <w:t xml:space="preserve">Family participation criteria emerged </w:t>
      </w:r>
      <w:r w:rsidR="00CE41AF">
        <w:rPr>
          <w:rFonts w:asciiTheme="minorHAnsi" w:hAnsiTheme="minorHAnsi"/>
          <w:sz w:val="24"/>
          <w:szCs w:val="24"/>
        </w:rPr>
        <w:t>as one of the more important</w:t>
      </w:r>
      <w:r>
        <w:rPr>
          <w:rFonts w:asciiTheme="minorHAnsi" w:hAnsiTheme="minorHAnsi"/>
          <w:sz w:val="24"/>
          <w:szCs w:val="24"/>
        </w:rPr>
        <w:t xml:space="preserve"> quantitative </w:t>
      </w:r>
      <w:r w:rsidR="00CE41AF">
        <w:rPr>
          <w:rFonts w:asciiTheme="minorHAnsi" w:hAnsiTheme="minorHAnsi"/>
          <w:sz w:val="24"/>
          <w:szCs w:val="24"/>
        </w:rPr>
        <w:t>results</w:t>
      </w:r>
      <w:r>
        <w:rPr>
          <w:rFonts w:asciiTheme="minorHAnsi" w:hAnsiTheme="minorHAnsi"/>
          <w:sz w:val="24"/>
          <w:szCs w:val="24"/>
        </w:rPr>
        <w:t xml:space="preserve">. </w:t>
      </w:r>
      <w:r w:rsidR="00CE41AF">
        <w:rPr>
          <w:rFonts w:asciiTheme="minorHAnsi" w:hAnsiTheme="minorHAnsi"/>
          <w:sz w:val="24"/>
          <w:szCs w:val="24"/>
        </w:rPr>
        <w:t xml:space="preserve">Of the </w:t>
      </w:r>
      <w:r>
        <w:rPr>
          <w:rFonts w:asciiTheme="minorHAnsi" w:hAnsiTheme="minorHAnsi"/>
          <w:sz w:val="24"/>
          <w:szCs w:val="24"/>
        </w:rPr>
        <w:t>leadership respondents</w:t>
      </w:r>
      <w:r w:rsidR="00CE41AF">
        <w:rPr>
          <w:rFonts w:asciiTheme="minorHAnsi" w:hAnsiTheme="minorHAnsi"/>
          <w:sz w:val="24"/>
          <w:szCs w:val="24"/>
        </w:rPr>
        <w:t xml:space="preserve"> 38% </w:t>
      </w:r>
      <w:r>
        <w:rPr>
          <w:rFonts w:asciiTheme="minorHAnsi" w:hAnsiTheme="minorHAnsi"/>
          <w:sz w:val="24"/>
          <w:szCs w:val="24"/>
        </w:rPr>
        <w:t>agreed that eligibility criteria are clear</w:t>
      </w:r>
      <w:r w:rsidR="00CE41AF">
        <w:rPr>
          <w:rFonts w:asciiTheme="minorHAnsi" w:hAnsiTheme="minorHAnsi"/>
          <w:sz w:val="24"/>
          <w:szCs w:val="24"/>
        </w:rPr>
        <w:t>; in contrast 54</w:t>
      </w:r>
      <w:r>
        <w:rPr>
          <w:rFonts w:asciiTheme="minorHAnsi" w:hAnsiTheme="minorHAnsi"/>
          <w:sz w:val="24"/>
          <w:szCs w:val="24"/>
        </w:rPr>
        <w:t>% disagreed (Figure 8).</w:t>
      </w:r>
    </w:p>
    <w:p w14:paraId="4AC9B56F" w14:textId="7F112E88" w:rsidR="00857A16" w:rsidRDefault="00857A16" w:rsidP="00857A16">
      <w:pPr>
        <w:pStyle w:val="Caption"/>
        <w:spacing w:before="0" w:after="0"/>
        <w:jc w:val="left"/>
        <w:rPr>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sidR="00451346">
        <w:rPr>
          <w:noProof/>
          <w:color w:val="auto"/>
          <w:sz w:val="22"/>
          <w:szCs w:val="22"/>
        </w:rPr>
        <w:t>8</w:t>
      </w:r>
      <w:r>
        <w:rPr>
          <w:color w:val="auto"/>
          <w:sz w:val="22"/>
          <w:szCs w:val="22"/>
        </w:rPr>
        <w:fldChar w:fldCharType="end"/>
      </w:r>
      <w:r>
        <w:rPr>
          <w:color w:val="auto"/>
          <w:sz w:val="22"/>
          <w:szCs w:val="22"/>
        </w:rPr>
        <w:t xml:space="preserve">. </w:t>
      </w:r>
      <w:bookmarkStart w:id="15" w:name="_Hlk224903776"/>
      <w:r>
        <w:rPr>
          <w:color w:val="auto"/>
          <w:sz w:val="22"/>
          <w:szCs w:val="22"/>
        </w:rPr>
        <w:t xml:space="preserve">Equity in Family Participation Survey Results </w:t>
      </w:r>
      <w:bookmarkEnd w:id="15"/>
      <w:r>
        <w:rPr>
          <w:color w:val="auto"/>
          <w:sz w:val="22"/>
          <w:szCs w:val="22"/>
        </w:rPr>
        <w:t>(n = 13)</w:t>
      </w:r>
    </w:p>
    <w:p w14:paraId="270CED3E" w14:textId="35F62AEE" w:rsidR="00857A16" w:rsidRPr="00857A16" w:rsidRDefault="00857A16" w:rsidP="00857A16">
      <w:r>
        <w:rPr>
          <w:noProof/>
        </w:rPr>
        <w:drawing>
          <wp:inline distT="0" distB="0" distL="0" distR="0" wp14:anchorId="3FD9CA46" wp14:editId="7E209F26">
            <wp:extent cx="4031312" cy="2613708"/>
            <wp:effectExtent l="0" t="0" r="7620" b="0"/>
            <wp:docPr id="9908" name="drawing"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 name="Picture 9908"/>
                    <pic:cNvPicPr/>
                  </pic:nvPicPr>
                  <pic:blipFill>
                    <a:blip r:embed="rId36">
                      <a:extLst>
                        <a:ext uri="{28A0092B-C50C-407E-A947-70E740481C1C}">
                          <a14:useLocalDpi xmlns:a14="http://schemas.microsoft.com/office/drawing/2010/main"/>
                        </a:ext>
                      </a:extLst>
                    </a:blip>
                    <a:stretch>
                      <a:fillRect/>
                    </a:stretch>
                  </pic:blipFill>
                  <pic:spPr>
                    <a:xfrm>
                      <a:off x="0" y="0"/>
                      <a:ext cx="4034038" cy="2615476"/>
                    </a:xfrm>
                    <a:prstGeom prst="rect">
                      <a:avLst/>
                    </a:prstGeom>
                  </pic:spPr>
                </pic:pic>
              </a:graphicData>
            </a:graphic>
          </wp:inline>
        </w:drawing>
      </w:r>
    </w:p>
    <w:p w14:paraId="461C8352" w14:textId="04750AFF" w:rsidR="0031299E" w:rsidRDefault="00E86964" w:rsidP="456BE292">
      <w:pPr>
        <w:jc w:val="left"/>
        <w:rPr>
          <w:rFonts w:asciiTheme="minorHAnsi" w:hAnsiTheme="minorHAnsi"/>
          <w:sz w:val="24"/>
          <w:szCs w:val="24"/>
        </w:rPr>
      </w:pPr>
      <w:r>
        <w:rPr>
          <w:rFonts w:asciiTheme="minorHAnsi" w:hAnsiTheme="minorHAnsi"/>
          <w:sz w:val="24"/>
          <w:szCs w:val="24"/>
        </w:rPr>
        <w:t>Q</w:t>
      </w:r>
      <w:r w:rsidR="00857A16">
        <w:rPr>
          <w:rFonts w:asciiTheme="minorHAnsi" w:hAnsiTheme="minorHAnsi"/>
          <w:sz w:val="24"/>
          <w:szCs w:val="24"/>
        </w:rPr>
        <w:t xml:space="preserve">ualitative discussions revealed that the referral pathway has evolved over time. While referrals were initially designed to flow through specific HHS administrative channels, referrals now occur through multiple pathways, including legal partners and supervisory consultation. Leadership </w:t>
      </w:r>
      <w:r w:rsidR="00475A5D">
        <w:rPr>
          <w:rFonts w:asciiTheme="minorHAnsi" w:hAnsiTheme="minorHAnsi"/>
          <w:sz w:val="24"/>
          <w:szCs w:val="24"/>
        </w:rPr>
        <w:t>expressed differing opinions about this</w:t>
      </w:r>
      <w:r w:rsidR="00857A16">
        <w:rPr>
          <w:rFonts w:asciiTheme="minorHAnsi" w:hAnsiTheme="minorHAnsi"/>
          <w:sz w:val="24"/>
          <w:szCs w:val="24"/>
        </w:rPr>
        <w:t xml:space="preserve"> evolution</w:t>
      </w:r>
      <w:r w:rsidR="00475A5D">
        <w:rPr>
          <w:rFonts w:asciiTheme="minorHAnsi" w:hAnsiTheme="minorHAnsi"/>
          <w:sz w:val="24"/>
          <w:szCs w:val="24"/>
        </w:rPr>
        <w:t>, some suggested it was</w:t>
      </w:r>
      <w:r w:rsidR="00857A16">
        <w:rPr>
          <w:rFonts w:asciiTheme="minorHAnsi" w:hAnsiTheme="minorHAnsi"/>
          <w:sz w:val="24"/>
          <w:szCs w:val="24"/>
        </w:rPr>
        <w:t xml:space="preserve"> problematic</w:t>
      </w:r>
      <w:r w:rsidR="00475A5D">
        <w:rPr>
          <w:rFonts w:asciiTheme="minorHAnsi" w:hAnsiTheme="minorHAnsi"/>
          <w:sz w:val="24"/>
          <w:szCs w:val="24"/>
        </w:rPr>
        <w:t xml:space="preserve"> and others did not</w:t>
      </w:r>
      <w:r w:rsidR="00857A16">
        <w:rPr>
          <w:rFonts w:asciiTheme="minorHAnsi" w:hAnsiTheme="minorHAnsi"/>
          <w:sz w:val="24"/>
          <w:szCs w:val="24"/>
        </w:rPr>
        <w:t xml:space="preserve">; however, participants agreed that greater clarity and documentation of </w:t>
      </w:r>
      <w:r w:rsidR="00475A5D">
        <w:rPr>
          <w:rFonts w:asciiTheme="minorHAnsi" w:hAnsiTheme="minorHAnsi"/>
          <w:sz w:val="24"/>
          <w:szCs w:val="24"/>
        </w:rPr>
        <w:t xml:space="preserve">the </w:t>
      </w:r>
      <w:r w:rsidR="00857A16">
        <w:rPr>
          <w:rFonts w:asciiTheme="minorHAnsi" w:hAnsiTheme="minorHAnsi"/>
          <w:sz w:val="24"/>
          <w:szCs w:val="24"/>
        </w:rPr>
        <w:t xml:space="preserve">referral process would </w:t>
      </w:r>
      <w:r w:rsidR="00475A5D">
        <w:rPr>
          <w:rFonts w:asciiTheme="minorHAnsi" w:hAnsiTheme="minorHAnsi"/>
          <w:sz w:val="24"/>
          <w:szCs w:val="24"/>
        </w:rPr>
        <w:t xml:space="preserve">be helpful and would </w:t>
      </w:r>
      <w:r w:rsidR="00857A16">
        <w:rPr>
          <w:rFonts w:asciiTheme="minorHAnsi" w:hAnsiTheme="minorHAnsi"/>
          <w:sz w:val="24"/>
          <w:szCs w:val="24"/>
        </w:rPr>
        <w:t>strengthen transparency and consistency</w:t>
      </w:r>
      <w:r w:rsidR="00475A5D">
        <w:rPr>
          <w:rFonts w:asciiTheme="minorHAnsi" w:hAnsiTheme="minorHAnsi"/>
          <w:sz w:val="24"/>
          <w:szCs w:val="24"/>
        </w:rPr>
        <w:t xml:space="preserve"> of those served. Table 4 presents some of the qualitative results. </w:t>
      </w:r>
    </w:p>
    <w:p w14:paraId="26F31869" w14:textId="77777777" w:rsidR="00E5286F" w:rsidRDefault="00E5286F">
      <w:pPr>
        <w:spacing w:before="0" w:after="0" w:line="240" w:lineRule="auto"/>
        <w:jc w:val="left"/>
        <w:rPr>
          <w:rFonts w:asciiTheme="minorHAnsi" w:hAnsiTheme="minorHAnsi"/>
          <w:i/>
          <w:iCs/>
          <w:sz w:val="22"/>
          <w:szCs w:val="22"/>
        </w:rPr>
      </w:pPr>
      <w:bookmarkStart w:id="16" w:name="_Toc193367414"/>
      <w:r>
        <w:rPr>
          <w:sz w:val="22"/>
          <w:szCs w:val="22"/>
        </w:rPr>
        <w:br w:type="page"/>
      </w:r>
    </w:p>
    <w:p w14:paraId="08294AD9" w14:textId="61A05E91" w:rsidR="001654C6" w:rsidRPr="00857A16" w:rsidRDefault="001654C6" w:rsidP="001654C6">
      <w:pPr>
        <w:pStyle w:val="Caption"/>
        <w:jc w:val="left"/>
        <w:rPr>
          <w:color w:val="auto"/>
          <w:sz w:val="22"/>
          <w:szCs w:val="22"/>
        </w:rPr>
      </w:pPr>
      <w:r>
        <w:rPr>
          <w:color w:val="auto"/>
          <w:sz w:val="22"/>
          <w:szCs w:val="22"/>
        </w:rPr>
        <w:lastRenderedPageBreak/>
        <w:t xml:space="preserve">Table </w:t>
      </w:r>
      <w:r>
        <w:rPr>
          <w:color w:val="auto"/>
          <w:sz w:val="22"/>
          <w:szCs w:val="22"/>
        </w:rPr>
        <w:fldChar w:fldCharType="begin"/>
      </w:r>
      <w:r>
        <w:rPr>
          <w:color w:val="auto"/>
          <w:sz w:val="22"/>
          <w:szCs w:val="22"/>
        </w:rPr>
        <w:instrText xml:space="preserve"> SEQ Table \* ARABIC </w:instrText>
      </w:r>
      <w:r>
        <w:rPr>
          <w:color w:val="auto"/>
          <w:sz w:val="22"/>
          <w:szCs w:val="22"/>
        </w:rPr>
        <w:fldChar w:fldCharType="separate"/>
      </w:r>
      <w:r w:rsidR="00451346">
        <w:rPr>
          <w:noProof/>
          <w:color w:val="auto"/>
          <w:sz w:val="22"/>
          <w:szCs w:val="22"/>
        </w:rPr>
        <w:t>1</w:t>
      </w:r>
      <w:r>
        <w:rPr>
          <w:color w:val="auto"/>
          <w:sz w:val="22"/>
          <w:szCs w:val="22"/>
        </w:rPr>
        <w:fldChar w:fldCharType="end"/>
      </w:r>
      <w:r>
        <w:rPr>
          <w:color w:val="auto"/>
          <w:sz w:val="22"/>
          <w:szCs w:val="22"/>
        </w:rPr>
        <w:t>. Who determines which families participate in Safe Babies?</w:t>
      </w:r>
      <w:bookmarkEnd w:id="16"/>
    </w:p>
    <w:tbl>
      <w:tblPr>
        <w:tblStyle w:val="PlainTable1"/>
        <w:tblW w:w="0" w:type="auto"/>
        <w:tblLook w:val="04A0" w:firstRow="1" w:lastRow="0" w:firstColumn="1" w:lastColumn="0" w:noHBand="0" w:noVBand="1"/>
      </w:tblPr>
      <w:tblGrid>
        <w:gridCol w:w="1939"/>
        <w:gridCol w:w="4957"/>
        <w:gridCol w:w="3328"/>
      </w:tblGrid>
      <w:tr w:rsidR="001654C6" w:rsidRPr="00C663C4" w14:paraId="4206CE97" w14:textId="77777777" w:rsidTr="00024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290B53" w14:textId="77777777" w:rsidR="001654C6" w:rsidRPr="00C663C4" w:rsidRDefault="001654C6" w:rsidP="00024EBE">
            <w:pPr>
              <w:rPr>
                <w:b/>
                <w:bCs w:val="0"/>
              </w:rPr>
            </w:pPr>
            <w:r>
              <w:rPr>
                <w:b/>
              </w:rPr>
              <w:t>Decision Point</w:t>
            </w:r>
          </w:p>
        </w:tc>
        <w:tc>
          <w:tcPr>
            <w:tcW w:w="0" w:type="auto"/>
            <w:hideMark/>
          </w:tcPr>
          <w:p w14:paraId="48A4343C" w14:textId="77777777" w:rsidR="001654C6" w:rsidRPr="00C663C4" w:rsidRDefault="001654C6" w:rsidP="00024EBE">
            <w:pPr>
              <w:cnfStyle w:val="100000000000" w:firstRow="1" w:lastRow="0" w:firstColumn="0" w:lastColumn="0" w:oddVBand="0" w:evenVBand="0" w:oddHBand="0" w:evenHBand="0" w:firstRowFirstColumn="0" w:firstRowLastColumn="0" w:lastRowFirstColumn="0" w:lastRowLastColumn="0"/>
              <w:rPr>
                <w:b/>
                <w:bCs w:val="0"/>
              </w:rPr>
            </w:pPr>
            <w:r>
              <w:rPr>
                <w:b/>
              </w:rPr>
              <w:t>Description</w:t>
            </w:r>
          </w:p>
        </w:tc>
        <w:tc>
          <w:tcPr>
            <w:tcW w:w="0" w:type="auto"/>
            <w:hideMark/>
          </w:tcPr>
          <w:p w14:paraId="5E74CDC4" w14:textId="77777777" w:rsidR="001654C6" w:rsidRPr="00C663C4" w:rsidRDefault="001654C6" w:rsidP="00024EBE">
            <w:pPr>
              <w:cnfStyle w:val="100000000000" w:firstRow="1" w:lastRow="0" w:firstColumn="0" w:lastColumn="0" w:oddVBand="0" w:evenVBand="0" w:oddHBand="0" w:evenHBand="0" w:firstRowFirstColumn="0" w:firstRowLastColumn="0" w:lastRowFirstColumn="0" w:lastRowLastColumn="0"/>
              <w:rPr>
                <w:b/>
                <w:bCs w:val="0"/>
              </w:rPr>
            </w:pPr>
            <w:r>
              <w:rPr>
                <w:b/>
              </w:rPr>
              <w:t>Leadership Insight</w:t>
            </w:r>
          </w:p>
        </w:tc>
      </w:tr>
      <w:tr w:rsidR="001654C6" w:rsidRPr="00C663C4" w14:paraId="65AE9E43" w14:textId="77777777" w:rsidTr="0002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305066" w14:textId="77777777" w:rsidR="001654C6" w:rsidRPr="00C663C4" w:rsidRDefault="001654C6" w:rsidP="00024EBE">
            <w:pPr>
              <w:jc w:val="left"/>
            </w:pPr>
            <w:r>
              <w:t>Initial Identification</w:t>
            </w:r>
          </w:p>
        </w:tc>
        <w:tc>
          <w:tcPr>
            <w:tcW w:w="0" w:type="auto"/>
            <w:hideMark/>
          </w:tcPr>
          <w:p w14:paraId="4A890EDA"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Families are identified through multiple referral pathways, including legal partners (judges and attorneys), child welfare supervisors, and court team members.</w:t>
            </w:r>
          </w:p>
        </w:tc>
        <w:tc>
          <w:tcPr>
            <w:tcW w:w="0" w:type="auto"/>
            <w:hideMark/>
          </w:tcPr>
          <w:p w14:paraId="070BAB13"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“Referrals are not always coming through the original pathway we outlined a few years ago.”</w:t>
            </w:r>
          </w:p>
        </w:tc>
      </w:tr>
      <w:tr w:rsidR="001654C6" w:rsidRPr="00C663C4" w14:paraId="1794C60F" w14:textId="77777777" w:rsidTr="00024EBE">
        <w:tc>
          <w:tcPr>
            <w:cnfStyle w:val="001000000000" w:firstRow="0" w:lastRow="0" w:firstColumn="1" w:lastColumn="0" w:oddVBand="0" w:evenVBand="0" w:oddHBand="0" w:evenHBand="0" w:firstRowFirstColumn="0" w:firstRowLastColumn="0" w:lastRowFirstColumn="0" w:lastRowLastColumn="0"/>
            <w:tcW w:w="0" w:type="auto"/>
            <w:hideMark/>
          </w:tcPr>
          <w:p w14:paraId="76FA708A" w14:textId="77777777" w:rsidR="001654C6" w:rsidRPr="00C663C4" w:rsidRDefault="001654C6" w:rsidP="00024EBE">
            <w:pPr>
              <w:jc w:val="left"/>
            </w:pPr>
            <w:r>
              <w:t>Administrative Review</w:t>
            </w:r>
          </w:p>
        </w:tc>
        <w:tc>
          <w:tcPr>
            <w:tcW w:w="0" w:type="auto"/>
            <w:hideMark/>
          </w:tcPr>
          <w:p w14:paraId="00BC562C"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HHS administrators and court team members may review eligibility based on child age, removal status, and court involvement.</w:t>
            </w:r>
          </w:p>
        </w:tc>
        <w:tc>
          <w:tcPr>
            <w:tcW w:w="0" w:type="auto"/>
            <w:hideMark/>
          </w:tcPr>
          <w:p w14:paraId="54428929"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“The process has evolved. It’s not necessarily good or bad, but it isn’t always consistent.”</w:t>
            </w:r>
          </w:p>
        </w:tc>
      </w:tr>
      <w:tr w:rsidR="001654C6" w:rsidRPr="00C663C4" w14:paraId="771EC2A4" w14:textId="77777777" w:rsidTr="0002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7EFC6D" w14:textId="77777777" w:rsidR="001654C6" w:rsidRPr="00C663C4" w:rsidRDefault="001654C6" w:rsidP="00024EBE">
            <w:pPr>
              <w:jc w:val="left"/>
            </w:pPr>
            <w:r>
              <w:t>Judicial Influence</w:t>
            </w:r>
          </w:p>
        </w:tc>
        <w:tc>
          <w:tcPr>
            <w:tcW w:w="0" w:type="auto"/>
            <w:hideMark/>
          </w:tcPr>
          <w:p w14:paraId="3FA6A64F"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Judges may influence participation decisions based on perceived case appropriateness, service availability, or team capacity.</w:t>
            </w:r>
          </w:p>
        </w:tc>
        <w:tc>
          <w:tcPr>
            <w:tcW w:w="0" w:type="auto"/>
            <w:hideMark/>
          </w:tcPr>
          <w:p w14:paraId="7746EDD4"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“Sometimes it depends on what the team can realistically take on.”</w:t>
            </w:r>
          </w:p>
        </w:tc>
      </w:tr>
      <w:tr w:rsidR="001654C6" w:rsidRPr="00C663C4" w14:paraId="59504497" w14:textId="77777777" w:rsidTr="00024EBE">
        <w:tc>
          <w:tcPr>
            <w:cnfStyle w:val="001000000000" w:firstRow="0" w:lastRow="0" w:firstColumn="1" w:lastColumn="0" w:oddVBand="0" w:evenVBand="0" w:oddHBand="0" w:evenHBand="0" w:firstRowFirstColumn="0" w:firstRowLastColumn="0" w:lastRowFirstColumn="0" w:lastRowLastColumn="0"/>
            <w:tcW w:w="0" w:type="auto"/>
            <w:hideMark/>
          </w:tcPr>
          <w:p w14:paraId="721E0BAE" w14:textId="77777777" w:rsidR="001654C6" w:rsidRPr="00C663C4" w:rsidRDefault="001654C6" w:rsidP="00024EBE">
            <w:pPr>
              <w:jc w:val="left"/>
            </w:pPr>
            <w:r>
              <w:t>Team Capacity Considerations</w:t>
            </w:r>
          </w:p>
        </w:tc>
        <w:tc>
          <w:tcPr>
            <w:tcW w:w="0" w:type="auto"/>
            <w:hideMark/>
          </w:tcPr>
          <w:p w14:paraId="05B30707"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Workforce limitations and attorney availability influence whether a case can be accepted.</w:t>
            </w:r>
          </w:p>
        </w:tc>
        <w:tc>
          <w:tcPr>
            <w:tcW w:w="0" w:type="auto"/>
            <w:hideMark/>
          </w:tcPr>
          <w:p w14:paraId="402151EA"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“The Safe Babies model requires more time than traditional services, and our teams are at capacity.”</w:t>
            </w:r>
          </w:p>
        </w:tc>
      </w:tr>
      <w:tr w:rsidR="001654C6" w:rsidRPr="00C663C4" w14:paraId="766C2006" w14:textId="77777777" w:rsidTr="0002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432BD" w14:textId="77777777" w:rsidR="001654C6" w:rsidRPr="00C663C4" w:rsidRDefault="001654C6" w:rsidP="00024EBE">
            <w:pPr>
              <w:jc w:val="left"/>
            </w:pPr>
            <w:r>
              <w:t>Case Complexity</w:t>
            </w:r>
          </w:p>
        </w:tc>
        <w:tc>
          <w:tcPr>
            <w:tcW w:w="0" w:type="auto"/>
            <w:hideMark/>
          </w:tcPr>
          <w:p w14:paraId="59FB6D5A"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 xml:space="preserve">Families served </w:t>
            </w:r>
            <w:proofErr w:type="gramStart"/>
            <w:r>
              <w:t>often</w:t>
            </w:r>
            <w:proofErr w:type="gramEnd"/>
            <w:r>
              <w:t xml:space="preserve"> present with high levels of trauma, substance use, intellectual disability, or multi-system involvement.</w:t>
            </w:r>
          </w:p>
        </w:tc>
        <w:tc>
          <w:tcPr>
            <w:tcW w:w="0" w:type="auto"/>
            <w:hideMark/>
          </w:tcPr>
          <w:p w14:paraId="1D9EF6BB"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“We tend to take very complex cases, which may influence permanency outcomes.”</w:t>
            </w:r>
          </w:p>
        </w:tc>
      </w:tr>
      <w:tr w:rsidR="001654C6" w:rsidRPr="00C663C4" w14:paraId="2E25D3BF" w14:textId="77777777" w:rsidTr="00024EBE">
        <w:tc>
          <w:tcPr>
            <w:cnfStyle w:val="001000000000" w:firstRow="0" w:lastRow="0" w:firstColumn="1" w:lastColumn="0" w:oddVBand="0" w:evenVBand="0" w:oddHBand="0" w:evenHBand="0" w:firstRowFirstColumn="0" w:firstRowLastColumn="0" w:lastRowFirstColumn="0" w:lastRowLastColumn="0"/>
            <w:tcW w:w="0" w:type="auto"/>
            <w:hideMark/>
          </w:tcPr>
          <w:p w14:paraId="2D1579F2" w14:textId="77777777" w:rsidR="001654C6" w:rsidRPr="00C663C4" w:rsidRDefault="001654C6" w:rsidP="00024EBE">
            <w:pPr>
              <w:jc w:val="left"/>
            </w:pPr>
            <w:r>
              <w:t>Equity Considerations</w:t>
            </w:r>
          </w:p>
        </w:tc>
        <w:tc>
          <w:tcPr>
            <w:tcW w:w="0" w:type="auto"/>
            <w:hideMark/>
          </w:tcPr>
          <w:p w14:paraId="2BF404D1"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Leadership acknowledged the importance of avoiding bias in selection and ensuring participation is not skewed toward families perceived as easier to engage.</w:t>
            </w:r>
          </w:p>
        </w:tc>
        <w:tc>
          <w:tcPr>
            <w:tcW w:w="0" w:type="auto"/>
            <w:hideMark/>
          </w:tcPr>
          <w:p w14:paraId="4B699FD7" w14:textId="77777777" w:rsidR="001654C6" w:rsidRPr="00C663C4" w:rsidRDefault="001654C6" w:rsidP="00024EBE">
            <w:pPr>
              <w:jc w:val="left"/>
              <w:cnfStyle w:val="000000000000" w:firstRow="0" w:lastRow="0" w:firstColumn="0" w:lastColumn="0" w:oddVBand="0" w:evenVBand="0" w:oddHBand="0" w:evenHBand="0" w:firstRowFirstColumn="0" w:firstRowLastColumn="0" w:lastRowFirstColumn="0" w:lastRowLastColumn="0"/>
            </w:pPr>
            <w:r>
              <w:t>“We need to make sure we’re not only serving families who seem easiest to work with.”</w:t>
            </w:r>
          </w:p>
        </w:tc>
      </w:tr>
      <w:tr w:rsidR="001654C6" w:rsidRPr="00C663C4" w14:paraId="6319F03C" w14:textId="77777777" w:rsidTr="00024E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391BA7" w14:textId="77777777" w:rsidR="001654C6" w:rsidRPr="00C663C4" w:rsidRDefault="001654C6" w:rsidP="00024EBE">
            <w:pPr>
              <w:jc w:val="left"/>
            </w:pPr>
            <w:r>
              <w:t>Need for Clarification</w:t>
            </w:r>
          </w:p>
        </w:tc>
        <w:tc>
          <w:tcPr>
            <w:tcW w:w="0" w:type="auto"/>
            <w:hideMark/>
          </w:tcPr>
          <w:p w14:paraId="35E6CAA2"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Only 38% of leadership respondents agreed that eligibility criteria are clear.</w:t>
            </w:r>
          </w:p>
        </w:tc>
        <w:tc>
          <w:tcPr>
            <w:tcW w:w="0" w:type="auto"/>
            <w:hideMark/>
          </w:tcPr>
          <w:p w14:paraId="71F87128" w14:textId="77777777" w:rsidR="001654C6" w:rsidRPr="00C663C4" w:rsidRDefault="001654C6" w:rsidP="00024EBE">
            <w:pPr>
              <w:jc w:val="left"/>
              <w:cnfStyle w:val="000000100000" w:firstRow="0" w:lastRow="0" w:firstColumn="0" w:lastColumn="0" w:oddVBand="0" w:evenVBand="0" w:oddHBand="1" w:evenHBand="0" w:firstRowFirstColumn="0" w:firstRowLastColumn="0" w:lastRowFirstColumn="0" w:lastRowLastColumn="0"/>
            </w:pPr>
            <w:r>
              <w:t>“We may need to refine and document the criteria more clearly moving forward.”</w:t>
            </w:r>
          </w:p>
        </w:tc>
      </w:tr>
    </w:tbl>
    <w:p w14:paraId="75220C6E" w14:textId="01D5A959" w:rsidR="001654C6" w:rsidRDefault="001654C6" w:rsidP="001654C6">
      <w:pPr>
        <w:jc w:val="left"/>
      </w:pPr>
      <w:r w:rsidRPr="00EC435A">
        <w:rPr>
          <w:i/>
          <w:iCs/>
        </w:rPr>
        <w:t>Note.</w:t>
      </w:r>
      <w:r>
        <w:t xml:space="preserve"> Themes </w:t>
      </w:r>
      <w:r w:rsidR="00475A5D">
        <w:t>derive from the</w:t>
      </w:r>
      <w:r>
        <w:t xml:space="preserve"> October 2025 SALT embedded survey and breakout discussions (n = 13 leadership respondents).</w:t>
      </w:r>
    </w:p>
    <w:p w14:paraId="4EE6C63E" w14:textId="48E08640" w:rsidR="0031299E" w:rsidRPr="0031299E" w:rsidRDefault="0031299E" w:rsidP="456BE292">
      <w:pPr>
        <w:jc w:val="left"/>
        <w:rPr>
          <w:rFonts w:asciiTheme="minorHAnsi" w:hAnsiTheme="minorHAnsi"/>
          <w:sz w:val="24"/>
          <w:szCs w:val="24"/>
        </w:rPr>
      </w:pPr>
      <w:r>
        <w:rPr>
          <w:rFonts w:asciiTheme="minorHAnsi" w:hAnsiTheme="minorHAnsi"/>
          <w:sz w:val="24"/>
          <w:szCs w:val="24"/>
        </w:rPr>
        <w:t>Leadership discussed</w:t>
      </w:r>
      <w:r w:rsidR="00475A5D">
        <w:rPr>
          <w:rFonts w:asciiTheme="minorHAnsi" w:hAnsiTheme="minorHAnsi"/>
          <w:sz w:val="24"/>
          <w:szCs w:val="24"/>
        </w:rPr>
        <w:t xml:space="preserve"> the</w:t>
      </w:r>
      <w:r>
        <w:rPr>
          <w:rFonts w:asciiTheme="minorHAnsi" w:hAnsiTheme="minorHAnsi"/>
          <w:sz w:val="24"/>
          <w:szCs w:val="24"/>
        </w:rPr>
        <w:t xml:space="preserve"> increasing case complexity </w:t>
      </w:r>
      <w:r w:rsidR="00475A5D">
        <w:rPr>
          <w:rFonts w:asciiTheme="minorHAnsi" w:hAnsiTheme="minorHAnsi"/>
          <w:sz w:val="24"/>
          <w:szCs w:val="24"/>
        </w:rPr>
        <w:t xml:space="preserve">observed </w:t>
      </w:r>
      <w:r>
        <w:rPr>
          <w:rFonts w:asciiTheme="minorHAnsi" w:hAnsiTheme="minorHAnsi"/>
          <w:sz w:val="24"/>
          <w:szCs w:val="24"/>
        </w:rPr>
        <w:t xml:space="preserve">among families </w:t>
      </w:r>
      <w:r w:rsidR="00475A5D">
        <w:rPr>
          <w:rFonts w:asciiTheme="minorHAnsi" w:hAnsiTheme="minorHAnsi"/>
          <w:sz w:val="24"/>
          <w:szCs w:val="24"/>
        </w:rPr>
        <w:t xml:space="preserve">being </w:t>
      </w:r>
      <w:r>
        <w:rPr>
          <w:rFonts w:asciiTheme="minorHAnsi" w:hAnsiTheme="minorHAnsi"/>
          <w:sz w:val="24"/>
          <w:szCs w:val="24"/>
        </w:rPr>
        <w:t xml:space="preserve">served. Participants noted that Safe Babies frequently </w:t>
      </w:r>
      <w:proofErr w:type="gramStart"/>
      <w:r>
        <w:rPr>
          <w:rFonts w:asciiTheme="minorHAnsi" w:hAnsiTheme="minorHAnsi"/>
          <w:sz w:val="24"/>
          <w:szCs w:val="24"/>
        </w:rPr>
        <w:t>engages</w:t>
      </w:r>
      <w:proofErr w:type="gramEnd"/>
      <w:r>
        <w:rPr>
          <w:rFonts w:asciiTheme="minorHAnsi" w:hAnsiTheme="minorHAnsi"/>
          <w:sz w:val="24"/>
          <w:szCs w:val="24"/>
        </w:rPr>
        <w:t xml:space="preserve"> families with high levels of trauma exposure, substance use, intellectual disability, incarceration, and multi-system involvement. Some expressed concern that serving disproportionately high-complexity cases may influence permanency outcome rates, including termination of parental rights (TPR).</w:t>
      </w:r>
    </w:p>
    <w:p w14:paraId="4DC2BB00" w14:textId="11B648F2" w:rsidR="0031299E" w:rsidRDefault="0031299E" w:rsidP="456BE292">
      <w:pPr>
        <w:jc w:val="left"/>
        <w:rPr>
          <w:rFonts w:asciiTheme="minorHAnsi" w:hAnsiTheme="minorHAnsi"/>
          <w:sz w:val="24"/>
          <w:szCs w:val="24"/>
        </w:rPr>
      </w:pPr>
      <w:r>
        <w:rPr>
          <w:rFonts w:asciiTheme="minorHAnsi" w:hAnsiTheme="minorHAnsi"/>
          <w:sz w:val="24"/>
          <w:szCs w:val="24"/>
        </w:rPr>
        <w:t xml:space="preserve">Additionally, leadership raised equity considerations regarding potential selection bias and emphasized the importance of ensuring that participation decisions are not inadvertently skewed toward families perceived as </w:t>
      </w:r>
      <w:r w:rsidR="002F2709">
        <w:rPr>
          <w:rFonts w:asciiTheme="minorHAnsi" w:hAnsiTheme="minorHAnsi"/>
          <w:sz w:val="24"/>
          <w:szCs w:val="24"/>
        </w:rPr>
        <w:t>“</w:t>
      </w:r>
      <w:r>
        <w:rPr>
          <w:rFonts w:asciiTheme="minorHAnsi" w:hAnsiTheme="minorHAnsi"/>
          <w:sz w:val="24"/>
          <w:szCs w:val="24"/>
        </w:rPr>
        <w:t xml:space="preserve">easier </w:t>
      </w:r>
      <w:r w:rsidR="002F2709">
        <w:rPr>
          <w:rFonts w:asciiTheme="minorHAnsi" w:hAnsiTheme="minorHAnsi"/>
          <w:sz w:val="24"/>
          <w:szCs w:val="24"/>
        </w:rPr>
        <w:t>cases</w:t>
      </w:r>
      <w:r>
        <w:rPr>
          <w:rFonts w:asciiTheme="minorHAnsi" w:hAnsiTheme="minorHAnsi"/>
          <w:sz w:val="24"/>
          <w:szCs w:val="24"/>
        </w:rPr>
        <w:t>.</w:t>
      </w:r>
      <w:r w:rsidR="002F2709">
        <w:rPr>
          <w:rFonts w:asciiTheme="minorHAnsi" w:hAnsiTheme="minorHAnsi"/>
          <w:sz w:val="24"/>
          <w:szCs w:val="24"/>
        </w:rPr>
        <w:t>”</w:t>
      </w:r>
    </w:p>
    <w:p w14:paraId="37818061" w14:textId="0F7F8524" w:rsidR="431CDE7D" w:rsidRDefault="431CDE7D" w:rsidP="456BE292">
      <w:pPr>
        <w:jc w:val="left"/>
        <w:rPr>
          <w:rFonts w:eastAsia="Roboto" w:cs="Roboto"/>
          <w:sz w:val="24"/>
          <w:szCs w:val="24"/>
        </w:rPr>
      </w:pPr>
      <w:r>
        <w:rPr>
          <w:rFonts w:eastAsia="Roboto" w:cs="Roboto"/>
          <w:sz w:val="24"/>
          <w:szCs w:val="24"/>
        </w:rPr>
        <w:lastRenderedPageBreak/>
        <w:t xml:space="preserve">Findings from FY2025 </w:t>
      </w:r>
      <w:r w:rsidR="002F2709">
        <w:rPr>
          <w:rFonts w:eastAsia="Roboto" w:cs="Roboto"/>
          <w:sz w:val="24"/>
          <w:szCs w:val="24"/>
        </w:rPr>
        <w:t>were consistent with findings from</w:t>
      </w:r>
      <w:r>
        <w:rPr>
          <w:rFonts w:eastAsia="Roboto" w:cs="Roboto"/>
          <w:sz w:val="24"/>
          <w:szCs w:val="24"/>
        </w:rPr>
        <w:t xml:space="preserve"> FY2024 regarding family participation and eligibility determination. In FY2024, leadership respondents frequently expressed uncertainty about who determines which families participate and what factors </w:t>
      </w:r>
      <w:r w:rsidR="002F2709">
        <w:rPr>
          <w:rFonts w:eastAsia="Roboto" w:cs="Roboto"/>
          <w:sz w:val="24"/>
          <w:szCs w:val="24"/>
        </w:rPr>
        <w:t>affect</w:t>
      </w:r>
      <w:r>
        <w:rPr>
          <w:rFonts w:eastAsia="Roboto" w:cs="Roboto"/>
          <w:sz w:val="24"/>
          <w:szCs w:val="24"/>
        </w:rPr>
        <w:t xml:space="preserve"> eligibility. In FY2025, this concern </w:t>
      </w:r>
      <w:r w:rsidR="002F2709">
        <w:rPr>
          <w:rFonts w:eastAsia="Roboto" w:cs="Roboto"/>
          <w:sz w:val="24"/>
          <w:szCs w:val="24"/>
        </w:rPr>
        <w:t>was also</w:t>
      </w:r>
      <w:r>
        <w:rPr>
          <w:rFonts w:eastAsia="Roboto" w:cs="Roboto"/>
          <w:sz w:val="24"/>
          <w:szCs w:val="24"/>
        </w:rPr>
        <w:t xml:space="preserve"> evident, with 38% of leadership respondents agreeing that eligibility criteria are clear and qualitative discussion pointing to evolving and inconsistently documented referral pathways.</w:t>
      </w:r>
    </w:p>
    <w:p w14:paraId="4151E106" w14:textId="72B446F3" w:rsidR="0031299E" w:rsidRDefault="0031299E" w:rsidP="456BE292">
      <w:pPr>
        <w:pStyle w:val="Heading3"/>
        <w:rPr>
          <w:i/>
          <w:iCs/>
        </w:rPr>
      </w:pPr>
      <w:r>
        <w:rPr>
          <w:i/>
          <w:iCs/>
        </w:rPr>
        <w:t>Perceived Leadership Support</w:t>
      </w:r>
    </w:p>
    <w:p w14:paraId="02764E49" w14:textId="0C2CA42E" w:rsidR="0031299E" w:rsidRPr="0031299E" w:rsidRDefault="0031299E" w:rsidP="456BE292">
      <w:pPr>
        <w:jc w:val="left"/>
      </w:pPr>
      <w:r>
        <w:rPr>
          <w:rFonts w:asciiTheme="minorHAnsi" w:hAnsiTheme="minorHAnsi"/>
          <w:sz w:val="24"/>
          <w:szCs w:val="24"/>
        </w:rPr>
        <w:t xml:space="preserve">Despite concerns regarding eligibility clarity and workforce capacity, </w:t>
      </w:r>
      <w:r w:rsidR="002F2709">
        <w:rPr>
          <w:rFonts w:asciiTheme="minorHAnsi" w:hAnsiTheme="minorHAnsi"/>
          <w:sz w:val="24"/>
          <w:szCs w:val="24"/>
        </w:rPr>
        <w:t>more than two-thirds</w:t>
      </w:r>
      <w:r>
        <w:rPr>
          <w:rFonts w:asciiTheme="minorHAnsi" w:hAnsiTheme="minorHAnsi"/>
          <w:sz w:val="24"/>
          <w:szCs w:val="24"/>
        </w:rPr>
        <w:t xml:space="preserve"> of respondents (69%) reported feeling supported by state leadership in carrying out their Safe Babies </w:t>
      </w:r>
      <w:r w:rsidR="002F2709">
        <w:rPr>
          <w:rFonts w:asciiTheme="minorHAnsi" w:hAnsiTheme="minorHAnsi"/>
          <w:sz w:val="24"/>
          <w:szCs w:val="24"/>
        </w:rPr>
        <w:t xml:space="preserve">team </w:t>
      </w:r>
      <w:r>
        <w:rPr>
          <w:rFonts w:asciiTheme="minorHAnsi" w:hAnsiTheme="minorHAnsi"/>
          <w:sz w:val="24"/>
          <w:szCs w:val="24"/>
        </w:rPr>
        <w:t xml:space="preserve">responsibilities. This represents a significant organizational strength and provides a </w:t>
      </w:r>
      <w:r w:rsidR="002F2709">
        <w:rPr>
          <w:rFonts w:asciiTheme="minorHAnsi" w:hAnsiTheme="minorHAnsi"/>
          <w:sz w:val="24"/>
          <w:szCs w:val="24"/>
        </w:rPr>
        <w:t xml:space="preserve">strong </w:t>
      </w:r>
      <w:r>
        <w:rPr>
          <w:rFonts w:asciiTheme="minorHAnsi" w:hAnsiTheme="minorHAnsi"/>
          <w:sz w:val="24"/>
          <w:szCs w:val="24"/>
        </w:rPr>
        <w:t>foundation for</w:t>
      </w:r>
      <w:r w:rsidR="002F2709">
        <w:rPr>
          <w:rFonts w:asciiTheme="minorHAnsi" w:hAnsiTheme="minorHAnsi"/>
          <w:sz w:val="24"/>
          <w:szCs w:val="24"/>
        </w:rPr>
        <w:t xml:space="preserve"> open and honest discussions about</w:t>
      </w:r>
      <w:r>
        <w:rPr>
          <w:rFonts w:asciiTheme="minorHAnsi" w:hAnsiTheme="minorHAnsi"/>
          <w:sz w:val="24"/>
          <w:szCs w:val="24"/>
        </w:rPr>
        <w:t xml:space="preserve"> implementing system improvements</w:t>
      </w:r>
      <w:r w:rsidR="0072477E">
        <w:rPr>
          <w:rFonts w:asciiTheme="minorHAnsi" w:hAnsiTheme="minorHAnsi"/>
          <w:sz w:val="24"/>
          <w:szCs w:val="24"/>
        </w:rPr>
        <w:t xml:space="preserve"> including those</w:t>
      </w:r>
      <w:r>
        <w:rPr>
          <w:rFonts w:asciiTheme="minorHAnsi" w:hAnsiTheme="minorHAnsi"/>
          <w:sz w:val="24"/>
          <w:szCs w:val="24"/>
        </w:rPr>
        <w:t xml:space="preserve"> identified through this evaluation (Figure 9).</w:t>
      </w:r>
    </w:p>
    <w:p w14:paraId="7B8353B6" w14:textId="77777777" w:rsidR="00524D0E" w:rsidRDefault="00524D0E" w:rsidP="456BE292">
      <w:pPr>
        <w:pStyle w:val="Caption"/>
        <w:spacing w:before="0" w:after="0"/>
        <w:jc w:val="left"/>
        <w:rPr>
          <w:color w:val="auto"/>
          <w:sz w:val="22"/>
          <w:szCs w:val="22"/>
        </w:rPr>
      </w:pPr>
    </w:p>
    <w:p w14:paraId="16FF0001" w14:textId="5B1EB5B5" w:rsidR="00823167" w:rsidRDefault="00973F31" w:rsidP="456BE292">
      <w:pPr>
        <w:pStyle w:val="Caption"/>
        <w:spacing w:before="0" w:after="0"/>
        <w:jc w:val="left"/>
        <w:rPr>
          <w:i w:val="0"/>
          <w:iCs w:val="0"/>
          <w:color w:val="auto"/>
          <w:sz w:val="22"/>
          <w:szCs w:val="22"/>
        </w:rPr>
      </w:pPr>
      <w:r>
        <w:rPr>
          <w:color w:val="auto"/>
          <w:sz w:val="22"/>
          <w:szCs w:val="22"/>
        </w:rPr>
        <w:t xml:space="preserve">Figure </w:t>
      </w:r>
      <w:r>
        <w:rPr>
          <w:color w:val="auto"/>
          <w:sz w:val="22"/>
          <w:szCs w:val="22"/>
        </w:rPr>
        <w:fldChar w:fldCharType="begin"/>
      </w:r>
      <w:r>
        <w:rPr>
          <w:color w:val="auto"/>
          <w:sz w:val="22"/>
          <w:szCs w:val="22"/>
        </w:rPr>
        <w:instrText xml:space="preserve"> SEQ Figure \* ARABIC </w:instrText>
      </w:r>
      <w:r>
        <w:rPr>
          <w:color w:val="auto"/>
          <w:sz w:val="22"/>
          <w:szCs w:val="22"/>
        </w:rPr>
        <w:fldChar w:fldCharType="separate"/>
      </w:r>
      <w:r w:rsidR="00451346">
        <w:rPr>
          <w:noProof/>
          <w:color w:val="auto"/>
          <w:sz w:val="22"/>
          <w:szCs w:val="22"/>
        </w:rPr>
        <w:t>9</w:t>
      </w:r>
      <w:r>
        <w:rPr>
          <w:color w:val="auto"/>
          <w:sz w:val="22"/>
          <w:szCs w:val="22"/>
        </w:rPr>
        <w:fldChar w:fldCharType="end"/>
      </w:r>
      <w:r>
        <w:rPr>
          <w:color w:val="auto"/>
          <w:sz w:val="22"/>
          <w:szCs w:val="22"/>
        </w:rPr>
        <w:t xml:space="preserve">. </w:t>
      </w:r>
      <w:bookmarkStart w:id="17" w:name="_Hlk224903899"/>
      <w:r>
        <w:rPr>
          <w:color w:val="auto"/>
          <w:sz w:val="22"/>
          <w:szCs w:val="22"/>
        </w:rPr>
        <w:t xml:space="preserve">Perceived Leadership Support Survey Results </w:t>
      </w:r>
      <w:bookmarkEnd w:id="17"/>
      <w:r>
        <w:rPr>
          <w:color w:val="auto"/>
          <w:sz w:val="22"/>
          <w:szCs w:val="22"/>
        </w:rPr>
        <w:t>(n = 13)</w:t>
      </w:r>
    </w:p>
    <w:p w14:paraId="16FF0002" w14:textId="16FF0002" w:rsidR="00823167" w:rsidRDefault="00973F31" w:rsidP="456BE292">
      <w:pPr>
        <w:spacing w:before="0" w:after="80" w:line="240" w:lineRule="auto"/>
        <w:jc w:val="left"/>
      </w:pPr>
      <w:r>
        <w:rPr>
          <w:noProof/>
        </w:rPr>
        <w:drawing>
          <wp:inline distT="0" distB="0" distL="0" distR="0" wp14:anchorId="16FF0004" wp14:editId="41649897">
            <wp:extent cx="4304621" cy="2790908"/>
            <wp:effectExtent l="0" t="0" r="1270" b="0"/>
            <wp:docPr id="9909" name="drawing"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 name="Picture 9909"/>
                    <pic:cNvPicPr/>
                  </pic:nvPicPr>
                  <pic:blipFill>
                    <a:blip r:embed="rId37">
                      <a:extLst>
                        <a:ext uri="{28A0092B-C50C-407E-A947-70E740481C1C}">
                          <a14:useLocalDpi xmlns:a14="http://schemas.microsoft.com/office/drawing/2010/main"/>
                        </a:ext>
                      </a:extLst>
                    </a:blip>
                    <a:stretch>
                      <a:fillRect/>
                    </a:stretch>
                  </pic:blipFill>
                  <pic:spPr>
                    <a:xfrm>
                      <a:off x="0" y="0"/>
                      <a:ext cx="4340356" cy="2814077"/>
                    </a:xfrm>
                    <a:prstGeom prst="rect">
                      <a:avLst/>
                    </a:prstGeom>
                  </pic:spPr>
                </pic:pic>
              </a:graphicData>
            </a:graphic>
          </wp:inline>
        </w:drawing>
      </w:r>
    </w:p>
    <w:p w14:paraId="3ED02E8B" w14:textId="77777777" w:rsidR="00973F31" w:rsidRDefault="00973F31">
      <w:pPr>
        <w:spacing w:before="0" w:after="0" w:line="240" w:lineRule="auto"/>
        <w:jc w:val="left"/>
        <w:rPr>
          <w:b/>
          <w:bCs/>
          <w:color w:val="000000" w:themeColor="text1"/>
          <w:sz w:val="36"/>
          <w:szCs w:val="36"/>
        </w:rPr>
      </w:pPr>
      <w:r>
        <w:rPr>
          <w:sz w:val="36"/>
          <w:szCs w:val="36"/>
        </w:rPr>
        <w:br w:type="page"/>
      </w:r>
    </w:p>
    <w:p w14:paraId="275FCDB3" w14:textId="4B3EAF19" w:rsidR="00F25EA7" w:rsidRDefault="00F25EA7" w:rsidP="00E84D3D">
      <w:pPr>
        <w:pStyle w:val="Heading2"/>
        <w:rPr>
          <w:sz w:val="36"/>
          <w:szCs w:val="36"/>
        </w:rPr>
      </w:pPr>
      <w:r>
        <w:rPr>
          <w:sz w:val="36"/>
          <w:szCs w:val="36"/>
        </w:rPr>
        <w:lastRenderedPageBreak/>
        <w:t>ITCP Permanency Outcomes</w:t>
      </w:r>
      <w:bookmarkEnd w:id="14"/>
    </w:p>
    <w:p w14:paraId="1AE15E09" w14:textId="76C009B2" w:rsidR="0072477E" w:rsidRDefault="0072477E" w:rsidP="0072477E">
      <w:pPr>
        <w:spacing w:before="0" w:after="240"/>
        <w:jc w:val="left"/>
      </w:pPr>
      <w:r>
        <w:rPr>
          <w:rFonts w:eastAsia="Roboto" w:cs="Roboto"/>
          <w:sz w:val="24"/>
          <w:szCs w:val="24"/>
        </w:rPr>
        <w:t>During the FY 2025 period (September 30, 2024 – September 29, 2025), a total of seven ITCP cases closed. Four cases ended with termination of parental rights (TPR), and three ended with reunification. This represents a TPR rate of 57% for FY2025, although the total number of cases is small. In all seven cases, the reason for removal was listed as neglect. Research using matched controls has shown that ITCT participation is associated with improved reunification rates and shorter time to permanency compared to similar cases not served by Safe Babies Court Teams (</w:t>
      </w:r>
      <w:hyperlink r:id="rId38" w:history="1">
        <w:r>
          <w:rPr>
            <w:rStyle w:val="Hyperlink"/>
            <w:rFonts w:eastAsia="Roboto" w:cs="Roboto"/>
            <w:sz w:val="24"/>
            <w:szCs w:val="24"/>
          </w:rPr>
          <w:t>Stacks et al., 2025</w:t>
        </w:r>
      </w:hyperlink>
      <w:r>
        <w:rPr>
          <w:rFonts w:eastAsia="Roboto" w:cs="Roboto"/>
          <w:sz w:val="24"/>
          <w:szCs w:val="24"/>
        </w:rPr>
        <w:t>).</w:t>
      </w:r>
    </w:p>
    <w:p w14:paraId="50AA0001" w14:textId="2C9B2033" w:rsidR="002251C5" w:rsidRDefault="00973F31" w:rsidP="456BE292">
      <w:pPr>
        <w:pStyle w:val="Caption"/>
        <w:spacing w:before="0" w:after="0"/>
        <w:jc w:val="left"/>
        <w:rPr>
          <w:i w:val="0"/>
          <w:iCs w:val="0"/>
          <w:color w:val="auto"/>
          <w:sz w:val="22"/>
          <w:szCs w:val="22"/>
        </w:rPr>
      </w:pPr>
      <w:bookmarkStart w:id="18" w:name="_Toc193367415"/>
      <w:r>
        <w:rPr>
          <w:color w:val="auto"/>
          <w:sz w:val="22"/>
          <w:szCs w:val="22"/>
        </w:rPr>
        <w:t xml:space="preserve">Table </w:t>
      </w:r>
      <w:r>
        <w:rPr>
          <w:color w:val="auto"/>
          <w:sz w:val="22"/>
          <w:szCs w:val="22"/>
        </w:rPr>
        <w:fldChar w:fldCharType="begin"/>
      </w:r>
      <w:r>
        <w:rPr>
          <w:color w:val="auto"/>
          <w:sz w:val="22"/>
          <w:szCs w:val="22"/>
        </w:rPr>
        <w:instrText xml:space="preserve"> SEQ Table \* ARABIC </w:instrText>
      </w:r>
      <w:r>
        <w:rPr>
          <w:color w:val="auto"/>
          <w:sz w:val="22"/>
          <w:szCs w:val="22"/>
        </w:rPr>
        <w:fldChar w:fldCharType="separate"/>
      </w:r>
      <w:r w:rsidR="00451346">
        <w:rPr>
          <w:noProof/>
          <w:color w:val="auto"/>
          <w:sz w:val="22"/>
          <w:szCs w:val="22"/>
        </w:rPr>
        <w:t>2</w:t>
      </w:r>
      <w:r>
        <w:rPr>
          <w:color w:val="auto"/>
          <w:sz w:val="22"/>
          <w:szCs w:val="22"/>
        </w:rPr>
        <w:fldChar w:fldCharType="end"/>
      </w:r>
      <w:r>
        <w:rPr>
          <w:color w:val="auto"/>
          <w:sz w:val="22"/>
          <w:szCs w:val="22"/>
        </w:rPr>
        <w:t>. Permanency Outcomes by Reason for Removal</w:t>
      </w:r>
      <w:bookmarkEnd w:id="18"/>
    </w:p>
    <w:tbl>
      <w:tblPr>
        <w:tblStyle w:val="TableGrid"/>
        <w:tblW w:w="9000" w:type="dxa"/>
        <w:tblLook w:val="04A0" w:firstRow="1" w:lastRow="0" w:firstColumn="1" w:lastColumn="0" w:noHBand="0" w:noVBand="1"/>
      </w:tblPr>
      <w:tblGrid>
        <w:gridCol w:w="1440"/>
        <w:gridCol w:w="2160"/>
        <w:gridCol w:w="2520"/>
        <w:gridCol w:w="2880"/>
      </w:tblGrid>
      <w:tr w:rsidR="00AA1234" w14:paraId="7D6A84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shd w:val="clear" w:color="auto" w:fill="1A1A1A"/>
          </w:tcPr>
          <w:p w14:paraId="3C87A02E" w14:textId="77777777" w:rsidR="002251C5" w:rsidRDefault="00973F31">
            <w:pPr>
              <w:spacing w:before="60" w:after="60"/>
              <w:jc w:val="left"/>
              <w:rPr>
                <w:bCs/>
                <w:color w:val="FFFFFF"/>
              </w:rPr>
            </w:pPr>
            <w:r>
              <w:rPr>
                <w:bCs/>
                <w:color w:val="FFFFFF"/>
              </w:rPr>
              <w:t>Fiscal Year</w:t>
            </w:r>
          </w:p>
        </w:tc>
        <w:tc>
          <w:tcPr>
            <w:tcW w:w="2160" w:type="dxa"/>
            <w:shd w:val="clear" w:color="auto" w:fill="1A1A1A"/>
          </w:tcPr>
          <w:p w14:paraId="147FAD29" w14:textId="77777777" w:rsidR="002251C5" w:rsidRDefault="00973F31">
            <w:pPr>
              <w:spacing w:before="60" w:after="60"/>
              <w:jc w:val="left"/>
              <w:cnfStyle w:val="100000000000" w:firstRow="1" w:lastRow="0" w:firstColumn="0" w:lastColumn="0" w:oddVBand="0" w:evenVBand="0" w:oddHBand="0" w:evenHBand="0" w:firstRowFirstColumn="0" w:firstRowLastColumn="0" w:lastRowFirstColumn="0" w:lastRowLastColumn="0"/>
              <w:rPr>
                <w:bCs/>
                <w:color w:val="FFFFFF"/>
              </w:rPr>
            </w:pPr>
            <w:r>
              <w:rPr>
                <w:bCs/>
                <w:color w:val="FFFFFF"/>
              </w:rPr>
              <w:t>Reason for Removal</w:t>
            </w:r>
          </w:p>
        </w:tc>
        <w:tc>
          <w:tcPr>
            <w:tcW w:w="2520" w:type="dxa"/>
            <w:shd w:val="clear" w:color="auto" w:fill="1A1A1A"/>
          </w:tcPr>
          <w:p w14:paraId="2F5A4DE1" w14:textId="77777777" w:rsidR="002251C5" w:rsidRDefault="00973F31">
            <w:pPr>
              <w:spacing w:before="60" w:after="60"/>
              <w:jc w:val="left"/>
              <w:cnfStyle w:val="100000000000" w:firstRow="1" w:lastRow="0" w:firstColumn="0" w:lastColumn="0" w:oddVBand="0" w:evenVBand="0" w:oddHBand="0" w:evenHBand="0" w:firstRowFirstColumn="0" w:firstRowLastColumn="0" w:lastRowFirstColumn="0" w:lastRowLastColumn="0"/>
              <w:rPr>
                <w:bCs/>
                <w:color w:val="FFFFFF"/>
              </w:rPr>
            </w:pPr>
            <w:r>
              <w:rPr>
                <w:bCs/>
                <w:color w:val="FFFFFF"/>
              </w:rPr>
              <w:t>Reunification</w:t>
            </w:r>
          </w:p>
        </w:tc>
        <w:tc>
          <w:tcPr>
            <w:tcW w:w="2880" w:type="dxa"/>
            <w:shd w:val="clear" w:color="auto" w:fill="1A1A1A"/>
          </w:tcPr>
          <w:p w14:paraId="70041DAD" w14:textId="77777777" w:rsidR="002251C5" w:rsidRDefault="00973F31">
            <w:pPr>
              <w:spacing w:before="60" w:after="60"/>
              <w:jc w:val="left"/>
              <w:cnfStyle w:val="100000000000" w:firstRow="1" w:lastRow="0" w:firstColumn="0" w:lastColumn="0" w:oddVBand="0" w:evenVBand="0" w:oddHBand="0" w:evenHBand="0" w:firstRowFirstColumn="0" w:firstRowLastColumn="0" w:lastRowFirstColumn="0" w:lastRowLastColumn="0"/>
              <w:rPr>
                <w:bCs/>
                <w:color w:val="FFFFFF"/>
              </w:rPr>
            </w:pPr>
            <w:r>
              <w:rPr>
                <w:bCs/>
                <w:color w:val="FFFFFF"/>
              </w:rPr>
              <w:t>Termination of Parental Rights (TPR)</w:t>
            </w:r>
          </w:p>
        </w:tc>
      </w:tr>
      <w:tr w:rsidR="00AA1234" w14:paraId="39DDA9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704F3EC" w14:textId="77777777" w:rsidR="002251C5" w:rsidRDefault="00973F31">
            <w:pPr>
              <w:spacing w:before="60" w:after="60"/>
              <w:jc w:val="left"/>
            </w:pPr>
            <w:r>
              <w:t>FY2024</w:t>
            </w:r>
          </w:p>
        </w:tc>
        <w:tc>
          <w:tcPr>
            <w:tcW w:w="2160" w:type="dxa"/>
          </w:tcPr>
          <w:p w14:paraId="343522F3" w14:textId="77777777" w:rsidR="002251C5" w:rsidRDefault="00973F31">
            <w:pPr>
              <w:spacing w:before="60" w:after="60"/>
              <w:jc w:val="left"/>
              <w:cnfStyle w:val="000000100000" w:firstRow="0" w:lastRow="0" w:firstColumn="0" w:lastColumn="0" w:oddVBand="0" w:evenVBand="0" w:oddHBand="1" w:evenHBand="0" w:firstRowFirstColumn="0" w:firstRowLastColumn="0" w:lastRowFirstColumn="0" w:lastRowLastColumn="0"/>
            </w:pPr>
            <w:r>
              <w:t>Neglect</w:t>
            </w:r>
          </w:p>
        </w:tc>
        <w:tc>
          <w:tcPr>
            <w:tcW w:w="2520" w:type="dxa"/>
          </w:tcPr>
          <w:p w14:paraId="3CC3DCAE" w14:textId="77777777" w:rsidR="002251C5" w:rsidRDefault="00973F31">
            <w:pPr>
              <w:spacing w:before="60" w:after="60"/>
              <w:jc w:val="left"/>
              <w:cnfStyle w:val="000000100000" w:firstRow="0" w:lastRow="0" w:firstColumn="0" w:lastColumn="0" w:oddVBand="0" w:evenVBand="0" w:oddHBand="1" w:evenHBand="0" w:firstRowFirstColumn="0" w:firstRowLastColumn="0" w:lastRowFirstColumn="0" w:lastRowLastColumn="0"/>
            </w:pPr>
            <w:r>
              <w:t>2 (20%)</w:t>
            </w:r>
          </w:p>
        </w:tc>
        <w:tc>
          <w:tcPr>
            <w:tcW w:w="2880" w:type="dxa"/>
          </w:tcPr>
          <w:p w14:paraId="1D7353B9" w14:textId="77777777" w:rsidR="002251C5" w:rsidRDefault="00973F31">
            <w:pPr>
              <w:spacing w:before="60" w:after="60"/>
              <w:jc w:val="left"/>
              <w:cnfStyle w:val="000000100000" w:firstRow="0" w:lastRow="0" w:firstColumn="0" w:lastColumn="0" w:oddVBand="0" w:evenVBand="0" w:oddHBand="1" w:evenHBand="0" w:firstRowFirstColumn="0" w:firstRowLastColumn="0" w:lastRowFirstColumn="0" w:lastRowLastColumn="0"/>
            </w:pPr>
            <w:r>
              <w:t>8 (80%)</w:t>
            </w:r>
          </w:p>
        </w:tc>
      </w:tr>
      <w:tr w:rsidR="00AA1234" w14:paraId="6F94D46A" w14:textId="77777777">
        <w:tc>
          <w:tcPr>
            <w:cnfStyle w:val="001000000000" w:firstRow="0" w:lastRow="0" w:firstColumn="1" w:lastColumn="0" w:oddVBand="0" w:evenVBand="0" w:oddHBand="0" w:evenHBand="0" w:firstRowFirstColumn="0" w:firstRowLastColumn="0" w:lastRowFirstColumn="0" w:lastRowLastColumn="0"/>
            <w:tcW w:w="1440" w:type="dxa"/>
          </w:tcPr>
          <w:p w14:paraId="3A9D1060" w14:textId="77777777" w:rsidR="002251C5" w:rsidRDefault="00973F31">
            <w:pPr>
              <w:spacing w:before="60" w:after="60"/>
              <w:jc w:val="left"/>
            </w:pPr>
            <w:r>
              <w:t>FY2025</w:t>
            </w:r>
          </w:p>
        </w:tc>
        <w:tc>
          <w:tcPr>
            <w:tcW w:w="2160" w:type="dxa"/>
          </w:tcPr>
          <w:p w14:paraId="7CF0AB72" w14:textId="77777777" w:rsidR="002251C5" w:rsidRDefault="00973F31">
            <w:pPr>
              <w:spacing w:before="60" w:after="60"/>
              <w:jc w:val="left"/>
              <w:cnfStyle w:val="000000000000" w:firstRow="0" w:lastRow="0" w:firstColumn="0" w:lastColumn="0" w:oddVBand="0" w:evenVBand="0" w:oddHBand="0" w:evenHBand="0" w:firstRowFirstColumn="0" w:firstRowLastColumn="0" w:lastRowFirstColumn="0" w:lastRowLastColumn="0"/>
            </w:pPr>
            <w:r>
              <w:t>Neglect</w:t>
            </w:r>
          </w:p>
        </w:tc>
        <w:tc>
          <w:tcPr>
            <w:tcW w:w="2520" w:type="dxa"/>
          </w:tcPr>
          <w:p w14:paraId="3B7B8A82" w14:textId="77777777" w:rsidR="002251C5" w:rsidRDefault="00973F31">
            <w:pPr>
              <w:spacing w:before="60" w:after="60"/>
              <w:jc w:val="left"/>
              <w:cnfStyle w:val="000000000000" w:firstRow="0" w:lastRow="0" w:firstColumn="0" w:lastColumn="0" w:oddVBand="0" w:evenVBand="0" w:oddHBand="0" w:evenHBand="0" w:firstRowFirstColumn="0" w:firstRowLastColumn="0" w:lastRowFirstColumn="0" w:lastRowLastColumn="0"/>
            </w:pPr>
            <w:r>
              <w:t>3 (43%)</w:t>
            </w:r>
          </w:p>
        </w:tc>
        <w:tc>
          <w:tcPr>
            <w:tcW w:w="2880" w:type="dxa"/>
          </w:tcPr>
          <w:p w14:paraId="58F6A28A" w14:textId="77777777" w:rsidR="002251C5" w:rsidRDefault="00973F31">
            <w:pPr>
              <w:spacing w:before="60" w:after="60"/>
              <w:jc w:val="left"/>
              <w:cnfStyle w:val="000000000000" w:firstRow="0" w:lastRow="0" w:firstColumn="0" w:lastColumn="0" w:oddVBand="0" w:evenVBand="0" w:oddHBand="0" w:evenHBand="0" w:firstRowFirstColumn="0" w:firstRowLastColumn="0" w:lastRowFirstColumn="0" w:lastRowLastColumn="0"/>
            </w:pPr>
            <w:r>
              <w:t>4 (57%)</w:t>
            </w:r>
          </w:p>
        </w:tc>
      </w:tr>
    </w:tbl>
    <w:p w14:paraId="50AA0002" w14:textId="48AAECDF" w:rsidR="002251C5" w:rsidRDefault="00973F31" w:rsidP="456BE292">
      <w:pPr>
        <w:spacing w:before="0"/>
        <w:jc w:val="left"/>
        <w:rPr>
          <w:i/>
        </w:rPr>
      </w:pPr>
      <w:r>
        <w:rPr>
          <w:i/>
        </w:rPr>
        <w:t xml:space="preserve">Note. </w:t>
      </w:r>
      <w:r w:rsidRPr="00EC435A">
        <w:rPr>
          <w:iCs/>
        </w:rPr>
        <w:t xml:space="preserve">FY2024 = </w:t>
      </w:r>
      <w:r w:rsidR="0072477E">
        <w:rPr>
          <w:iCs/>
        </w:rPr>
        <w:t>September 30</w:t>
      </w:r>
      <w:r w:rsidRPr="00EC435A">
        <w:rPr>
          <w:iCs/>
        </w:rPr>
        <w:t xml:space="preserve">, 2023 – September 29, 2024; FY2025 = September 30, 2024 – September 29, 2025. </w:t>
      </w:r>
      <w:r w:rsidR="0072477E">
        <w:rPr>
          <w:iCs/>
        </w:rPr>
        <w:t>T</w:t>
      </w:r>
      <w:r w:rsidRPr="00EC435A">
        <w:rPr>
          <w:iCs/>
        </w:rPr>
        <w:t>he primary reason for removal</w:t>
      </w:r>
      <w:r w:rsidR="0072477E">
        <w:rPr>
          <w:iCs/>
        </w:rPr>
        <w:t xml:space="preserve"> was </w:t>
      </w:r>
      <w:r w:rsidR="0072477E" w:rsidRPr="00EC435A">
        <w:rPr>
          <w:iCs/>
        </w:rPr>
        <w:t>neglect</w:t>
      </w:r>
      <w:r w:rsidR="004202CF">
        <w:rPr>
          <w:iCs/>
        </w:rPr>
        <w:t xml:space="preserve"> (denial of critical care) in all cases. </w:t>
      </w:r>
    </w:p>
    <w:p w14:paraId="255C6E4A" w14:textId="77777777" w:rsidR="008E2151" w:rsidRDefault="0752A8F0" w:rsidP="456BE292">
      <w:pPr>
        <w:spacing w:before="240" w:after="240"/>
        <w:jc w:val="left"/>
        <w:rPr>
          <w:rFonts w:eastAsia="Roboto" w:cs="Roboto"/>
          <w:sz w:val="24"/>
          <w:szCs w:val="24"/>
        </w:rPr>
      </w:pPr>
      <w:r>
        <w:rPr>
          <w:rFonts w:eastAsia="Roboto" w:cs="Roboto"/>
          <w:sz w:val="24"/>
          <w:szCs w:val="24"/>
        </w:rPr>
        <w:t>Compared with FY2024, permanency outcomes improved modestly. In FY2024, 10 ITCP cases closed</w:t>
      </w:r>
      <w:r w:rsidR="00210036">
        <w:rPr>
          <w:rFonts w:eastAsia="Roboto" w:cs="Roboto"/>
          <w:sz w:val="24"/>
          <w:szCs w:val="24"/>
        </w:rPr>
        <w:t xml:space="preserve"> and</w:t>
      </w:r>
      <w:r>
        <w:rPr>
          <w:rFonts w:eastAsia="Roboto" w:cs="Roboto"/>
          <w:sz w:val="24"/>
          <w:szCs w:val="24"/>
        </w:rPr>
        <w:t xml:space="preserve"> 8 cases </w:t>
      </w:r>
      <w:r w:rsidR="00210036">
        <w:rPr>
          <w:rFonts w:eastAsia="Roboto" w:cs="Roboto"/>
          <w:sz w:val="24"/>
          <w:szCs w:val="24"/>
        </w:rPr>
        <w:t>resulted</w:t>
      </w:r>
      <w:r>
        <w:rPr>
          <w:rFonts w:eastAsia="Roboto" w:cs="Roboto"/>
          <w:sz w:val="24"/>
          <w:szCs w:val="24"/>
        </w:rPr>
        <w:t xml:space="preserve"> in TPR</w:t>
      </w:r>
      <w:r w:rsidR="00210036">
        <w:rPr>
          <w:rFonts w:eastAsia="Roboto" w:cs="Roboto"/>
          <w:sz w:val="24"/>
          <w:szCs w:val="24"/>
        </w:rPr>
        <w:t>,</w:t>
      </w:r>
      <w:r>
        <w:rPr>
          <w:rFonts w:eastAsia="Roboto" w:cs="Roboto"/>
          <w:sz w:val="24"/>
          <w:szCs w:val="24"/>
        </w:rPr>
        <w:t xml:space="preserve"> 2 </w:t>
      </w:r>
      <w:r w:rsidR="00210036">
        <w:rPr>
          <w:rFonts w:eastAsia="Roboto" w:cs="Roboto"/>
          <w:sz w:val="24"/>
          <w:szCs w:val="24"/>
        </w:rPr>
        <w:t>resulted i</w:t>
      </w:r>
      <w:r>
        <w:rPr>
          <w:rFonts w:eastAsia="Roboto" w:cs="Roboto"/>
          <w:sz w:val="24"/>
          <w:szCs w:val="24"/>
        </w:rPr>
        <w:t>n reunification</w:t>
      </w:r>
      <w:r w:rsidR="00210036">
        <w:rPr>
          <w:rFonts w:eastAsia="Roboto" w:cs="Roboto"/>
          <w:sz w:val="24"/>
          <w:szCs w:val="24"/>
        </w:rPr>
        <w:t xml:space="preserve">. The </w:t>
      </w:r>
      <w:r>
        <w:rPr>
          <w:rFonts w:eastAsia="Roboto" w:cs="Roboto"/>
          <w:sz w:val="24"/>
          <w:szCs w:val="24"/>
        </w:rPr>
        <w:t xml:space="preserve">TPR rate </w:t>
      </w:r>
      <w:r w:rsidR="00210036">
        <w:rPr>
          <w:rFonts w:eastAsia="Roboto" w:cs="Roboto"/>
          <w:sz w:val="24"/>
          <w:szCs w:val="24"/>
        </w:rPr>
        <w:t>for FY2024 was</w:t>
      </w:r>
      <w:r>
        <w:rPr>
          <w:rFonts w:eastAsia="Roboto" w:cs="Roboto"/>
          <w:sz w:val="24"/>
          <w:szCs w:val="24"/>
        </w:rPr>
        <w:t xml:space="preserve"> 80%. In FY2025, </w:t>
      </w:r>
      <w:r w:rsidR="007C6F3C">
        <w:rPr>
          <w:rFonts w:eastAsia="Roboto" w:cs="Roboto"/>
          <w:sz w:val="24"/>
          <w:szCs w:val="24"/>
        </w:rPr>
        <w:t xml:space="preserve">7 </w:t>
      </w:r>
      <w:r>
        <w:rPr>
          <w:rFonts w:eastAsia="Roboto" w:cs="Roboto"/>
          <w:sz w:val="24"/>
          <w:szCs w:val="24"/>
        </w:rPr>
        <w:t xml:space="preserve">cases closed and the number of TPR cases </w:t>
      </w:r>
      <w:r w:rsidR="007C6F3C">
        <w:rPr>
          <w:rFonts w:eastAsia="Roboto" w:cs="Roboto"/>
          <w:sz w:val="24"/>
          <w:szCs w:val="24"/>
        </w:rPr>
        <w:t>was</w:t>
      </w:r>
      <w:r>
        <w:rPr>
          <w:rFonts w:eastAsia="Roboto" w:cs="Roboto"/>
          <w:sz w:val="24"/>
          <w:szCs w:val="24"/>
        </w:rPr>
        <w:t xml:space="preserve"> four</w:t>
      </w:r>
      <w:r w:rsidR="007C6F3C">
        <w:rPr>
          <w:rFonts w:eastAsia="Roboto" w:cs="Roboto"/>
          <w:sz w:val="24"/>
          <w:szCs w:val="24"/>
        </w:rPr>
        <w:t xml:space="preserve"> (4) with three (3) </w:t>
      </w:r>
      <w:r>
        <w:rPr>
          <w:rFonts w:eastAsia="Roboto" w:cs="Roboto"/>
          <w:sz w:val="24"/>
          <w:szCs w:val="24"/>
        </w:rPr>
        <w:t xml:space="preserve">reunifications. </w:t>
      </w:r>
      <w:r w:rsidR="007C6F3C">
        <w:rPr>
          <w:rFonts w:eastAsia="Roboto" w:cs="Roboto"/>
          <w:sz w:val="24"/>
          <w:szCs w:val="24"/>
        </w:rPr>
        <w:t xml:space="preserve">These differences must be interpreted with caution because each year </w:t>
      </w:r>
      <w:proofErr w:type="gramStart"/>
      <w:r w:rsidR="007C6F3C">
        <w:rPr>
          <w:rFonts w:eastAsia="Roboto" w:cs="Roboto"/>
          <w:sz w:val="24"/>
          <w:szCs w:val="24"/>
        </w:rPr>
        <w:t>involves  different</w:t>
      </w:r>
      <w:proofErr w:type="gramEnd"/>
      <w:r w:rsidR="007C6F3C">
        <w:rPr>
          <w:rFonts w:eastAsia="Roboto" w:cs="Roboto"/>
          <w:sz w:val="24"/>
          <w:szCs w:val="24"/>
        </w:rPr>
        <w:t xml:space="preserve"> and unique families, and </w:t>
      </w:r>
      <w:r w:rsidR="00AB1E12">
        <w:rPr>
          <w:rFonts w:eastAsia="Roboto" w:cs="Roboto"/>
          <w:sz w:val="24"/>
          <w:szCs w:val="24"/>
        </w:rPr>
        <w:t xml:space="preserve">the outcome data </w:t>
      </w:r>
      <w:r w:rsidR="005F6ECA">
        <w:rPr>
          <w:rFonts w:eastAsia="Roboto" w:cs="Roboto"/>
          <w:sz w:val="24"/>
          <w:szCs w:val="24"/>
        </w:rPr>
        <w:t xml:space="preserve">are </w:t>
      </w:r>
      <w:r w:rsidR="00AB1E12" w:rsidRPr="00AB1E12">
        <w:rPr>
          <w:rFonts w:eastAsia="Roboto" w:cs="Roboto"/>
          <w:sz w:val="24"/>
          <w:szCs w:val="24"/>
        </w:rPr>
        <w:t xml:space="preserve">limited by </w:t>
      </w:r>
      <w:r w:rsidR="005F6ECA">
        <w:rPr>
          <w:rFonts w:eastAsia="Roboto" w:cs="Roboto"/>
          <w:sz w:val="24"/>
          <w:szCs w:val="24"/>
        </w:rPr>
        <w:t>the</w:t>
      </w:r>
      <w:r w:rsidR="00AB1E12" w:rsidRPr="00AB1E12">
        <w:rPr>
          <w:rFonts w:eastAsia="Roboto" w:cs="Roboto"/>
          <w:sz w:val="24"/>
          <w:szCs w:val="24"/>
        </w:rPr>
        <w:t xml:space="preserve"> small </w:t>
      </w:r>
      <w:r w:rsidR="005F6ECA">
        <w:rPr>
          <w:rFonts w:eastAsia="Roboto" w:cs="Roboto"/>
          <w:sz w:val="24"/>
          <w:szCs w:val="24"/>
        </w:rPr>
        <w:t>number of cases</w:t>
      </w:r>
      <w:r w:rsidR="00AB1E12" w:rsidRPr="00AB1E12">
        <w:rPr>
          <w:rFonts w:eastAsia="Roboto" w:cs="Roboto"/>
          <w:sz w:val="24"/>
          <w:szCs w:val="24"/>
        </w:rPr>
        <w:t xml:space="preserve"> which reduces statistical power and increases the margin of error. </w:t>
      </w:r>
      <w:r w:rsidR="00526ECF">
        <w:rPr>
          <w:rFonts w:eastAsia="Roboto" w:cs="Roboto"/>
          <w:sz w:val="24"/>
          <w:szCs w:val="24"/>
        </w:rPr>
        <w:t>In other words, d</w:t>
      </w:r>
      <w:r w:rsidR="00526ECF" w:rsidRPr="00526ECF">
        <w:rPr>
          <w:rFonts w:eastAsia="Roboto" w:cs="Roboto"/>
          <w:sz w:val="24"/>
          <w:szCs w:val="24"/>
        </w:rPr>
        <w:t xml:space="preserve">ue to the small sample size, the percentages reported are highly sensitive to individual variations. In a cohort of this size, a change in a single </w:t>
      </w:r>
      <w:r w:rsidR="00526ECF">
        <w:rPr>
          <w:rFonts w:eastAsia="Roboto" w:cs="Roboto"/>
          <w:sz w:val="24"/>
          <w:szCs w:val="24"/>
        </w:rPr>
        <w:t>child’s</w:t>
      </w:r>
      <w:r w:rsidR="00526ECF" w:rsidRPr="00526ECF">
        <w:rPr>
          <w:rFonts w:eastAsia="Roboto" w:cs="Roboto"/>
          <w:sz w:val="24"/>
          <w:szCs w:val="24"/>
        </w:rPr>
        <w:t xml:space="preserve"> outcome can shift the results by </w:t>
      </w:r>
      <w:r w:rsidR="00526ECF">
        <w:rPr>
          <w:rFonts w:eastAsia="Roboto" w:cs="Roboto"/>
          <w:sz w:val="24"/>
          <w:szCs w:val="24"/>
        </w:rPr>
        <w:t xml:space="preserve">10 to </w:t>
      </w:r>
      <w:r w:rsidR="00676521">
        <w:rPr>
          <w:rFonts w:eastAsia="Roboto" w:cs="Roboto"/>
          <w:sz w:val="24"/>
          <w:szCs w:val="24"/>
        </w:rPr>
        <w:t>14</w:t>
      </w:r>
      <w:r w:rsidR="00526ECF" w:rsidRPr="00526ECF">
        <w:rPr>
          <w:rFonts w:eastAsia="Roboto" w:cs="Roboto"/>
          <w:sz w:val="24"/>
          <w:szCs w:val="24"/>
        </w:rPr>
        <w:t xml:space="preserve"> percentage points, making the data more descriptive of this specific group than representative of a larger trend</w:t>
      </w:r>
      <w:r w:rsidR="00676521">
        <w:rPr>
          <w:rFonts w:eastAsia="Roboto" w:cs="Roboto"/>
          <w:sz w:val="24"/>
          <w:szCs w:val="24"/>
        </w:rPr>
        <w:t xml:space="preserve">. </w:t>
      </w:r>
      <w:r w:rsidR="00AB1E12" w:rsidRPr="00AB1E12">
        <w:rPr>
          <w:rFonts w:eastAsia="Roboto" w:cs="Roboto"/>
          <w:sz w:val="24"/>
          <w:szCs w:val="24"/>
        </w:rPr>
        <w:t>Consequently, these percentages should be interpreted with caution</w:t>
      </w:r>
      <w:r w:rsidR="008E2151">
        <w:rPr>
          <w:rFonts w:eastAsia="Roboto" w:cs="Roboto"/>
          <w:sz w:val="24"/>
          <w:szCs w:val="24"/>
        </w:rPr>
        <w:t xml:space="preserve">. </w:t>
      </w:r>
    </w:p>
    <w:p w14:paraId="75224920" w14:textId="2481B112" w:rsidR="1611EF08" w:rsidRDefault="008E2151" w:rsidP="008E2151">
      <w:pPr>
        <w:spacing w:before="240" w:after="240"/>
        <w:jc w:val="left"/>
        <w:rPr>
          <w:sz w:val="24"/>
          <w:szCs w:val="24"/>
        </w:rPr>
      </w:pPr>
      <w:r>
        <w:rPr>
          <w:rFonts w:eastAsia="Roboto" w:cs="Roboto"/>
          <w:sz w:val="24"/>
          <w:szCs w:val="24"/>
        </w:rPr>
        <w:t xml:space="preserve">Examining these results over a longer </w:t>
      </w:r>
      <w:proofErr w:type="gramStart"/>
      <w:r>
        <w:rPr>
          <w:rFonts w:eastAsia="Roboto" w:cs="Roboto"/>
          <w:sz w:val="24"/>
          <w:szCs w:val="24"/>
        </w:rPr>
        <w:t>period of time</w:t>
      </w:r>
      <w:proofErr w:type="gramEnd"/>
      <w:r>
        <w:rPr>
          <w:rFonts w:eastAsia="Roboto" w:cs="Roboto"/>
          <w:sz w:val="24"/>
          <w:szCs w:val="24"/>
        </w:rPr>
        <w:t xml:space="preserve"> would provide more robust results. </w:t>
      </w:r>
      <w:r w:rsidR="1611EF08">
        <w:rPr>
          <w:sz w:val="24"/>
          <w:szCs w:val="24"/>
        </w:rPr>
        <w:t>Although the FY2025 TPR rate of 57% is lower than the 80% reported for FY2024, it remains higher than overall TPR rate for children ages 0–3 in Polk County, the State of Iowa, and national estimates. For example, in 2022, the TPR rate among Polk County cases involving children ages 0–3 was approximately 29.7% of founded reports.</w:t>
      </w:r>
    </w:p>
    <w:p w14:paraId="2F4BF33E" w14:textId="58371D32" w:rsidR="1611EF08" w:rsidRDefault="1611EF08" w:rsidP="456BE292">
      <w:pPr>
        <w:jc w:val="left"/>
        <w:rPr>
          <w:sz w:val="24"/>
          <w:szCs w:val="24"/>
        </w:rPr>
      </w:pPr>
      <w:r>
        <w:rPr>
          <w:sz w:val="24"/>
          <w:szCs w:val="24"/>
        </w:rPr>
        <w:t xml:space="preserve">Several factors may help explain the relatively high TPR rate in the past fiscal year. First, </w:t>
      </w:r>
      <w:r w:rsidR="0094293D">
        <w:rPr>
          <w:sz w:val="24"/>
          <w:szCs w:val="24"/>
        </w:rPr>
        <w:t xml:space="preserve">historically, </w:t>
      </w:r>
      <w:r>
        <w:rPr>
          <w:sz w:val="24"/>
          <w:szCs w:val="24"/>
        </w:rPr>
        <w:t>high staff turnover at the Iowa Health and Human Services reduced ITCP’s operational capacity</w:t>
      </w:r>
      <w:r w:rsidR="0094293D">
        <w:rPr>
          <w:sz w:val="24"/>
          <w:szCs w:val="24"/>
        </w:rPr>
        <w:t xml:space="preserve"> during FY2023</w:t>
      </w:r>
      <w:r w:rsidR="003F50EB">
        <w:rPr>
          <w:sz w:val="24"/>
          <w:szCs w:val="24"/>
        </w:rPr>
        <w:t xml:space="preserve"> which reduced case closure in FY2023.</w:t>
      </w:r>
      <w:r>
        <w:rPr>
          <w:sz w:val="24"/>
          <w:szCs w:val="24"/>
        </w:rPr>
        <w:t xml:space="preserve"> With limited capacity, it is possible that the program served primarily the highest-need families, which may contribute to higher TPR rates.</w:t>
      </w:r>
    </w:p>
    <w:p w14:paraId="5E067E17" w14:textId="41CAD01B" w:rsidR="1611EF08" w:rsidRDefault="1611EF08" w:rsidP="456BE292">
      <w:pPr>
        <w:jc w:val="left"/>
        <w:rPr>
          <w:sz w:val="24"/>
          <w:szCs w:val="24"/>
        </w:rPr>
      </w:pPr>
      <w:r>
        <w:rPr>
          <w:sz w:val="24"/>
          <w:szCs w:val="24"/>
        </w:rPr>
        <w:lastRenderedPageBreak/>
        <w:t>Second, program administration and operational challenges may also play a role. Thematic analysis of open-ended survey responses from ITCP professionals identified barriers to implementing evidence-based and trauma-informed practices that may reduce TPR risk. These barriers included limited cohesion and collaboration across professionals, inconsistent understanding of trauma-informed practice across disciplines, and limited access to clinical or mental health professionals.</w:t>
      </w:r>
    </w:p>
    <w:p w14:paraId="77C6167B" w14:textId="535AEEED" w:rsidR="456BE292" w:rsidRPr="004F7C20" w:rsidRDefault="00AD6277" w:rsidP="004F7C20">
      <w:pPr>
        <w:jc w:val="left"/>
        <w:rPr>
          <w:sz w:val="24"/>
          <w:szCs w:val="24"/>
        </w:rPr>
      </w:pPr>
      <w:r>
        <w:rPr>
          <w:sz w:val="24"/>
          <w:szCs w:val="24"/>
        </w:rPr>
        <w:t>Third</w:t>
      </w:r>
      <w:r w:rsidR="1611EF08">
        <w:rPr>
          <w:sz w:val="24"/>
          <w:szCs w:val="24"/>
        </w:rPr>
        <w:t xml:space="preserve">, the reason for removal in all cases was neglect, which is often associated with conditions related to poverty. Systemic or individual biases, combined with limited understanding of trauma-informed approaches, </w:t>
      </w:r>
      <w:r w:rsidR="00DE2ECB">
        <w:rPr>
          <w:sz w:val="24"/>
          <w:szCs w:val="24"/>
        </w:rPr>
        <w:t xml:space="preserve">or under-identified organic factors (e.g., traumatic brain injury) </w:t>
      </w:r>
      <w:r w:rsidR="1611EF08">
        <w:rPr>
          <w:sz w:val="24"/>
          <w:szCs w:val="24"/>
        </w:rPr>
        <w:t>may influence how neglect cases are assessed and addressed. As Merritt (2020) notes, “Policy revisions that mandate a nonjudgmental approach to supporting families are also warranted. For instance, if we arrive at a refined and universal definition of neglect that acknowledges the unintentionality of experiencing poverty, then our assessments about parenting will be based on compassion and empathy and will be less accusatory.”</w:t>
      </w:r>
    </w:p>
    <w:p w14:paraId="43A6D631" w14:textId="77777777" w:rsidR="002F4C50" w:rsidRDefault="002F4C50">
      <w:pPr>
        <w:spacing w:before="0" w:after="0" w:line="240" w:lineRule="auto"/>
        <w:jc w:val="left"/>
        <w:rPr>
          <w:b/>
          <w:bCs/>
          <w:sz w:val="52"/>
          <w:szCs w:val="180"/>
        </w:rPr>
      </w:pPr>
      <w:bookmarkStart w:id="19" w:name="_Toc193367520"/>
      <w:r>
        <w:rPr>
          <w:sz w:val="52"/>
          <w:szCs w:val="180"/>
        </w:rPr>
        <w:br w:type="page"/>
      </w:r>
    </w:p>
    <w:p w14:paraId="13C65817" w14:textId="6EE433DF" w:rsidR="008F23B6" w:rsidRPr="00DE2ECB" w:rsidRDefault="008F23B6" w:rsidP="0030737F">
      <w:pPr>
        <w:pStyle w:val="Heading1"/>
        <w:rPr>
          <w:szCs w:val="40"/>
        </w:rPr>
      </w:pPr>
      <w:r w:rsidRPr="00DE2ECB">
        <w:rPr>
          <w:szCs w:val="40"/>
        </w:rPr>
        <w:lastRenderedPageBreak/>
        <w:t>CONCLUSIONS AND RECOMMENDATIONS</w:t>
      </w:r>
      <w:bookmarkEnd w:id="19"/>
    </w:p>
    <w:p w14:paraId="0B3C0BBB" w14:textId="7699E207" w:rsidR="00811705" w:rsidRPr="006304F0" w:rsidRDefault="00300E80" w:rsidP="00811705">
      <w:pPr>
        <w:jc w:val="left"/>
        <w:rPr>
          <w:b/>
          <w:bCs/>
          <w:i/>
          <w:iCs/>
          <w:sz w:val="24"/>
          <w:szCs w:val="24"/>
        </w:rPr>
      </w:pPr>
      <w:r>
        <w:rPr>
          <w:b/>
          <w:bCs/>
          <w:i/>
          <w:iCs/>
          <w:sz w:val="24"/>
          <w:szCs w:val="24"/>
        </w:rPr>
        <w:t xml:space="preserve">Findings and </w:t>
      </w:r>
      <w:r w:rsidR="00811705" w:rsidRPr="006304F0">
        <w:rPr>
          <w:b/>
          <w:bCs/>
          <w:i/>
          <w:iCs/>
          <w:sz w:val="24"/>
          <w:szCs w:val="24"/>
        </w:rPr>
        <w:t>Key Takeaways from the Initial Survey Responses</w:t>
      </w:r>
    </w:p>
    <w:p w14:paraId="2C75EA2C" w14:textId="77777777" w:rsidR="00DD2924" w:rsidRDefault="1C7556A6" w:rsidP="00DD2924">
      <w:pPr>
        <w:jc w:val="left"/>
        <w:rPr>
          <w:rFonts w:eastAsia="Roboto" w:cs="Roboto"/>
          <w:sz w:val="24"/>
          <w:szCs w:val="24"/>
        </w:rPr>
      </w:pPr>
      <w:r w:rsidRPr="00DE2ECB">
        <w:rPr>
          <w:rFonts w:eastAsia="Roboto" w:cs="Roboto"/>
          <w:sz w:val="24"/>
          <w:szCs w:val="24"/>
        </w:rPr>
        <w:t>Although response patterns should still be interpreted cautiously, FY2025 findings offer a clearer picture of implementation than FY2024 due to revised data collection methods and stronger leadership engagement</w:t>
      </w:r>
      <w:r>
        <w:rPr>
          <w:rFonts w:eastAsia="Roboto" w:cs="Roboto"/>
          <w:sz w:val="24"/>
          <w:szCs w:val="24"/>
        </w:rPr>
        <w:t xml:space="preserve">. </w:t>
      </w:r>
      <w:r w:rsidR="00DE2ECB">
        <w:rPr>
          <w:rFonts w:eastAsia="Roboto" w:cs="Roboto"/>
          <w:sz w:val="24"/>
          <w:szCs w:val="24"/>
        </w:rPr>
        <w:t>F</w:t>
      </w:r>
      <w:r>
        <w:rPr>
          <w:rFonts w:eastAsia="Roboto" w:cs="Roboto"/>
          <w:sz w:val="24"/>
          <w:szCs w:val="24"/>
        </w:rPr>
        <w:t xml:space="preserve">indings </w:t>
      </w:r>
      <w:r w:rsidR="00DE2ECB">
        <w:rPr>
          <w:rFonts w:eastAsia="Roboto" w:cs="Roboto"/>
          <w:sz w:val="24"/>
          <w:szCs w:val="24"/>
        </w:rPr>
        <w:t xml:space="preserve">from both years were generally consistent </w:t>
      </w:r>
      <w:r w:rsidR="0094566E">
        <w:rPr>
          <w:rFonts w:eastAsia="Roboto" w:cs="Roboto"/>
          <w:sz w:val="24"/>
          <w:szCs w:val="24"/>
        </w:rPr>
        <w:t xml:space="preserve">and the </w:t>
      </w:r>
      <w:r w:rsidR="0094566E" w:rsidRPr="00C2171B">
        <w:rPr>
          <w:rFonts w:eastAsia="Roboto" w:cs="Roboto"/>
          <w:sz w:val="24"/>
          <w:szCs w:val="24"/>
        </w:rPr>
        <w:t>convergence of multiple data points provides a strong foundation for optimism regarding the intervention’s long-term outcomes.</w:t>
      </w:r>
      <w:r w:rsidR="0094566E">
        <w:rPr>
          <w:rFonts w:eastAsia="Roboto" w:cs="Roboto"/>
          <w:sz w:val="24"/>
          <w:szCs w:val="24"/>
        </w:rPr>
        <w:t xml:space="preserve"> </w:t>
      </w:r>
      <w:r w:rsidR="00DD2924">
        <w:rPr>
          <w:rFonts w:eastAsia="Roboto" w:cs="Roboto"/>
          <w:sz w:val="24"/>
          <w:szCs w:val="24"/>
        </w:rPr>
        <w:t>The data indicate s</w:t>
      </w:r>
      <w:r>
        <w:rPr>
          <w:rFonts w:eastAsia="Roboto" w:cs="Roboto"/>
          <w:sz w:val="24"/>
          <w:szCs w:val="24"/>
        </w:rPr>
        <w:t>ustained organizational commitment to trauma-informed and evidence-based practice</w:t>
      </w:r>
      <w:r w:rsidR="00DD2924">
        <w:rPr>
          <w:rFonts w:eastAsia="Roboto" w:cs="Roboto"/>
          <w:sz w:val="24"/>
          <w:szCs w:val="24"/>
        </w:rPr>
        <w:t xml:space="preserve"> which serve as a strong foundation to build on to address the </w:t>
      </w:r>
      <w:r>
        <w:rPr>
          <w:rFonts w:eastAsia="Roboto" w:cs="Roboto"/>
          <w:sz w:val="24"/>
          <w:szCs w:val="24"/>
        </w:rPr>
        <w:t>persistent challenges related to workforce capacity, provider availability, family selection clarity, and cross-disciplinary collaboration.</w:t>
      </w:r>
      <w:r w:rsidR="00B4128B">
        <w:rPr>
          <w:rFonts w:eastAsia="Roboto" w:cs="Roboto"/>
          <w:sz w:val="24"/>
          <w:szCs w:val="24"/>
        </w:rPr>
        <w:t xml:space="preserve"> </w:t>
      </w:r>
    </w:p>
    <w:p w14:paraId="60761C3F" w14:textId="1CDB7EE1" w:rsidR="00811705" w:rsidRPr="00737D65" w:rsidRDefault="00811705" w:rsidP="00737D65">
      <w:pPr>
        <w:pStyle w:val="ListParagraph"/>
        <w:numPr>
          <w:ilvl w:val="0"/>
          <w:numId w:val="40"/>
        </w:numPr>
        <w:jc w:val="left"/>
        <w:rPr>
          <w:sz w:val="24"/>
          <w:szCs w:val="24"/>
        </w:rPr>
      </w:pPr>
      <w:r w:rsidRPr="00737D65">
        <w:rPr>
          <w:b/>
          <w:bCs/>
          <w:sz w:val="24"/>
          <w:szCs w:val="24"/>
        </w:rPr>
        <w:t>High Confidence and Organizational Support for Trauma-Responsive and Evidence-Based Practices</w:t>
      </w:r>
    </w:p>
    <w:p w14:paraId="4536E517" w14:textId="79DDB6BD" w:rsidR="0381CFDC" w:rsidRDefault="00E0417B" w:rsidP="456BE292">
      <w:pPr>
        <w:numPr>
          <w:ilvl w:val="1"/>
          <w:numId w:val="40"/>
        </w:numPr>
        <w:jc w:val="left"/>
        <w:rPr>
          <w:sz w:val="24"/>
          <w:szCs w:val="24"/>
        </w:rPr>
      </w:pPr>
      <w:r>
        <w:rPr>
          <w:rFonts w:eastAsia="Roboto" w:cs="Roboto"/>
          <w:sz w:val="24"/>
          <w:szCs w:val="24"/>
        </w:rPr>
        <w:t>R</w:t>
      </w:r>
      <w:r w:rsidR="0381CFDC">
        <w:rPr>
          <w:rFonts w:eastAsia="Roboto" w:cs="Roboto"/>
          <w:sz w:val="24"/>
          <w:szCs w:val="24"/>
        </w:rPr>
        <w:t>espondents consistently reported high levels of experience with trauma-responsive and evidence-based practices. In FY2025, perceived training and organizational support for evidence-based practices remained strong, although reported frequency of use declined compared with FY2024, suggesting that implementation barriers may be limiting application in practice.</w:t>
      </w:r>
    </w:p>
    <w:p w14:paraId="2E26783A" w14:textId="77777777" w:rsidR="00811705" w:rsidRPr="00811705" w:rsidRDefault="00811705" w:rsidP="00811705">
      <w:pPr>
        <w:numPr>
          <w:ilvl w:val="1"/>
          <w:numId w:val="40"/>
        </w:numPr>
        <w:jc w:val="left"/>
        <w:rPr>
          <w:sz w:val="24"/>
          <w:szCs w:val="24"/>
        </w:rPr>
      </w:pPr>
      <w:r>
        <w:rPr>
          <w:sz w:val="24"/>
          <w:szCs w:val="24"/>
        </w:rPr>
        <w:t>Nearly all respondents (89%) reported prior experience using trauma-responsive or evidence-based practices.</w:t>
      </w:r>
    </w:p>
    <w:p w14:paraId="14DF0CA9" w14:textId="77777777" w:rsidR="00811705" w:rsidRPr="00811705" w:rsidRDefault="00811705" w:rsidP="00811705">
      <w:pPr>
        <w:numPr>
          <w:ilvl w:val="1"/>
          <w:numId w:val="40"/>
        </w:numPr>
        <w:jc w:val="left"/>
        <w:rPr>
          <w:sz w:val="24"/>
          <w:szCs w:val="24"/>
        </w:rPr>
      </w:pPr>
      <w:r>
        <w:rPr>
          <w:sz w:val="24"/>
          <w:szCs w:val="24"/>
        </w:rPr>
        <w:t>Strong organizational support was reported by most respondents, with 89% indicating adequate training and organizational support for both trauma-responsive and evidence-based practices in FY2025.</w:t>
      </w:r>
    </w:p>
    <w:p w14:paraId="4BF55CBA" w14:textId="573293B9" w:rsidR="00811705" w:rsidRPr="00811705" w:rsidRDefault="00E0417B" w:rsidP="00811705">
      <w:pPr>
        <w:numPr>
          <w:ilvl w:val="1"/>
          <w:numId w:val="40"/>
        </w:numPr>
        <w:jc w:val="left"/>
        <w:rPr>
          <w:sz w:val="24"/>
          <w:szCs w:val="24"/>
        </w:rPr>
      </w:pPr>
      <w:r>
        <w:rPr>
          <w:sz w:val="24"/>
          <w:szCs w:val="24"/>
        </w:rPr>
        <w:t>B</w:t>
      </w:r>
      <w:r w:rsidR="00811705">
        <w:rPr>
          <w:sz w:val="24"/>
          <w:szCs w:val="24"/>
        </w:rPr>
        <w:t>arriers such as workforce limitations, high turnover, and service accessibility challenges hinder the consistent implementation of these practices.</w:t>
      </w:r>
    </w:p>
    <w:p w14:paraId="1EF3214A" w14:textId="77777777" w:rsidR="00811705" w:rsidRPr="00811705" w:rsidRDefault="00811705" w:rsidP="00811705">
      <w:pPr>
        <w:numPr>
          <w:ilvl w:val="0"/>
          <w:numId w:val="40"/>
        </w:numPr>
        <w:jc w:val="left"/>
        <w:rPr>
          <w:sz w:val="24"/>
          <w:szCs w:val="24"/>
        </w:rPr>
      </w:pPr>
      <w:r>
        <w:rPr>
          <w:b/>
          <w:bCs/>
          <w:sz w:val="24"/>
          <w:szCs w:val="24"/>
        </w:rPr>
        <w:t>Resource Gaps for Evidence-Based Practices</w:t>
      </w:r>
    </w:p>
    <w:p w14:paraId="6FF689DC" w14:textId="7106B85E" w:rsidR="3A105CB3" w:rsidRDefault="3A105CB3" w:rsidP="456BE292">
      <w:pPr>
        <w:numPr>
          <w:ilvl w:val="1"/>
          <w:numId w:val="40"/>
        </w:numPr>
        <w:jc w:val="left"/>
        <w:rPr>
          <w:sz w:val="24"/>
          <w:szCs w:val="24"/>
        </w:rPr>
      </w:pPr>
      <w:r>
        <w:rPr>
          <w:rFonts w:eastAsia="Roboto" w:cs="Roboto"/>
          <w:sz w:val="24"/>
          <w:szCs w:val="24"/>
        </w:rPr>
        <w:t xml:space="preserve">Perceived resource sufficiency </w:t>
      </w:r>
      <w:r w:rsidR="00E0417B">
        <w:rPr>
          <w:rFonts w:eastAsia="Roboto" w:cs="Roboto"/>
          <w:sz w:val="24"/>
          <w:szCs w:val="24"/>
        </w:rPr>
        <w:t>is evident</w:t>
      </w:r>
      <w:r>
        <w:rPr>
          <w:rFonts w:eastAsia="Roboto" w:cs="Roboto"/>
          <w:sz w:val="24"/>
          <w:szCs w:val="24"/>
        </w:rPr>
        <w:t xml:space="preserve"> for both trauma-responsive and evidence-based practices. </w:t>
      </w:r>
      <w:r w:rsidR="00E0417B">
        <w:rPr>
          <w:rFonts w:eastAsia="Roboto" w:cs="Roboto"/>
          <w:sz w:val="24"/>
          <w:szCs w:val="24"/>
        </w:rPr>
        <w:t>E</w:t>
      </w:r>
      <w:r>
        <w:rPr>
          <w:rFonts w:eastAsia="Roboto" w:cs="Roboto"/>
          <w:sz w:val="24"/>
          <w:szCs w:val="24"/>
        </w:rPr>
        <w:t xml:space="preserve">vidence-based practices </w:t>
      </w:r>
      <w:r w:rsidR="00A659E2">
        <w:rPr>
          <w:rFonts w:eastAsia="Roboto" w:cs="Roboto"/>
          <w:sz w:val="24"/>
          <w:szCs w:val="24"/>
        </w:rPr>
        <w:t xml:space="preserve">appear </w:t>
      </w:r>
      <w:r>
        <w:rPr>
          <w:rFonts w:eastAsia="Roboto" w:cs="Roboto"/>
          <w:sz w:val="24"/>
          <w:szCs w:val="24"/>
        </w:rPr>
        <w:t xml:space="preserve">to </w:t>
      </w:r>
      <w:proofErr w:type="gramStart"/>
      <w:r>
        <w:rPr>
          <w:rFonts w:eastAsia="Roboto" w:cs="Roboto"/>
          <w:sz w:val="24"/>
          <w:szCs w:val="24"/>
        </w:rPr>
        <w:t>lag behind</w:t>
      </w:r>
      <w:proofErr w:type="gramEnd"/>
      <w:r>
        <w:rPr>
          <w:rFonts w:eastAsia="Roboto" w:cs="Roboto"/>
          <w:sz w:val="24"/>
          <w:szCs w:val="24"/>
        </w:rPr>
        <w:t xml:space="preserve"> trauma-responsive approaches, indicating that practical and structural </w:t>
      </w:r>
      <w:proofErr w:type="gramStart"/>
      <w:r>
        <w:rPr>
          <w:rFonts w:eastAsia="Roboto" w:cs="Roboto"/>
          <w:sz w:val="24"/>
          <w:szCs w:val="24"/>
        </w:rPr>
        <w:t>supports</w:t>
      </w:r>
      <w:proofErr w:type="gramEnd"/>
      <w:r>
        <w:rPr>
          <w:rFonts w:eastAsia="Roboto" w:cs="Roboto"/>
          <w:sz w:val="24"/>
          <w:szCs w:val="24"/>
        </w:rPr>
        <w:t xml:space="preserve"> remain insufficient for full implementation.</w:t>
      </w:r>
    </w:p>
    <w:p w14:paraId="7050E5ED" w14:textId="0154AEA3" w:rsidR="00811705" w:rsidRPr="00811705" w:rsidRDefault="00811705" w:rsidP="00811705">
      <w:pPr>
        <w:numPr>
          <w:ilvl w:val="1"/>
          <w:numId w:val="40"/>
        </w:numPr>
        <w:jc w:val="left"/>
        <w:rPr>
          <w:sz w:val="24"/>
          <w:szCs w:val="24"/>
        </w:rPr>
      </w:pPr>
      <w:r>
        <w:rPr>
          <w:sz w:val="24"/>
          <w:szCs w:val="24"/>
        </w:rPr>
        <w:t>In FY2025, 50% of respondents felt there were sufficient resources available to implement evidence-based practices, and 78% for trauma-responsive approaches</w:t>
      </w:r>
      <w:r w:rsidR="00A659E2">
        <w:rPr>
          <w:sz w:val="24"/>
          <w:szCs w:val="24"/>
        </w:rPr>
        <w:t xml:space="preserve"> </w:t>
      </w:r>
      <w:r w:rsidR="00296A77">
        <w:rPr>
          <w:sz w:val="24"/>
          <w:szCs w:val="24"/>
        </w:rPr>
        <w:t>(in</w:t>
      </w:r>
      <w:r>
        <w:rPr>
          <w:sz w:val="24"/>
          <w:szCs w:val="24"/>
        </w:rPr>
        <w:t xml:space="preserve"> FY2024</w:t>
      </w:r>
      <w:r w:rsidR="00296A77">
        <w:rPr>
          <w:sz w:val="24"/>
          <w:szCs w:val="24"/>
        </w:rPr>
        <w:t xml:space="preserve">, the percentages were </w:t>
      </w:r>
      <w:r>
        <w:rPr>
          <w:sz w:val="24"/>
          <w:szCs w:val="24"/>
        </w:rPr>
        <w:t>39% and 57%, respectively).</w:t>
      </w:r>
    </w:p>
    <w:p w14:paraId="6A91B154" w14:textId="0B6312AD" w:rsidR="00811705" w:rsidRPr="00811705" w:rsidRDefault="00811705" w:rsidP="00811705">
      <w:pPr>
        <w:numPr>
          <w:ilvl w:val="1"/>
          <w:numId w:val="40"/>
        </w:numPr>
        <w:jc w:val="left"/>
        <w:rPr>
          <w:sz w:val="24"/>
          <w:szCs w:val="24"/>
        </w:rPr>
      </w:pPr>
      <w:r>
        <w:rPr>
          <w:sz w:val="24"/>
          <w:szCs w:val="24"/>
        </w:rPr>
        <w:lastRenderedPageBreak/>
        <w:t xml:space="preserve">This suggests that while trauma-responsive frameworks may be well-integrated into agencies, the financial, personnel, or training resources needed to fully implement evidence-based interventions may </w:t>
      </w:r>
      <w:r w:rsidR="00296A77">
        <w:rPr>
          <w:sz w:val="24"/>
          <w:szCs w:val="24"/>
        </w:rPr>
        <w:t>need attention</w:t>
      </w:r>
      <w:r>
        <w:rPr>
          <w:sz w:val="24"/>
          <w:szCs w:val="24"/>
        </w:rPr>
        <w:t>.</w:t>
      </w:r>
    </w:p>
    <w:p w14:paraId="724CC37F" w14:textId="77777777" w:rsidR="00811705" w:rsidRPr="00811705" w:rsidRDefault="00811705" w:rsidP="00811705">
      <w:pPr>
        <w:numPr>
          <w:ilvl w:val="0"/>
          <w:numId w:val="40"/>
        </w:numPr>
        <w:jc w:val="left"/>
        <w:rPr>
          <w:sz w:val="24"/>
          <w:szCs w:val="24"/>
        </w:rPr>
      </w:pPr>
      <w:r>
        <w:rPr>
          <w:b/>
          <w:bCs/>
          <w:sz w:val="24"/>
          <w:szCs w:val="24"/>
        </w:rPr>
        <w:t>Workforce Challenges and Equity Issues</w:t>
      </w:r>
    </w:p>
    <w:p w14:paraId="05F4D321" w14:textId="77777777" w:rsidR="00811705" w:rsidRPr="00811705" w:rsidRDefault="00811705" w:rsidP="00811705">
      <w:pPr>
        <w:numPr>
          <w:ilvl w:val="1"/>
          <w:numId w:val="40"/>
        </w:numPr>
        <w:jc w:val="left"/>
        <w:rPr>
          <w:sz w:val="24"/>
          <w:szCs w:val="24"/>
        </w:rPr>
      </w:pPr>
      <w:r>
        <w:rPr>
          <w:sz w:val="24"/>
          <w:szCs w:val="24"/>
        </w:rPr>
        <w:t>Respondents expressed concerns about limited provider availability and high turnover impacting service delivery.</w:t>
      </w:r>
    </w:p>
    <w:p w14:paraId="1C54535C" w14:textId="7A635BFB" w:rsidR="00811705" w:rsidRPr="00811705" w:rsidRDefault="00811705" w:rsidP="00811705">
      <w:pPr>
        <w:numPr>
          <w:ilvl w:val="1"/>
          <w:numId w:val="40"/>
        </w:numPr>
        <w:jc w:val="left"/>
        <w:rPr>
          <w:sz w:val="24"/>
          <w:szCs w:val="24"/>
        </w:rPr>
      </w:pPr>
      <w:r>
        <w:rPr>
          <w:sz w:val="24"/>
          <w:szCs w:val="24"/>
        </w:rPr>
        <w:t>The lack of workforce diversity within ITCP agencies was also identified as an issue.</w:t>
      </w:r>
    </w:p>
    <w:p w14:paraId="6A0EB701" w14:textId="72D03F4D" w:rsidR="00811705" w:rsidRPr="00811705" w:rsidRDefault="00811705" w:rsidP="00811705">
      <w:pPr>
        <w:numPr>
          <w:ilvl w:val="1"/>
          <w:numId w:val="40"/>
        </w:numPr>
        <w:jc w:val="left"/>
        <w:rPr>
          <w:sz w:val="24"/>
          <w:szCs w:val="24"/>
        </w:rPr>
      </w:pPr>
      <w:r>
        <w:rPr>
          <w:sz w:val="24"/>
          <w:szCs w:val="24"/>
        </w:rPr>
        <w:t>Suggestions included broadening applicant pools to improve hiring and increasing training opportunities on equitable, trauma-informed care.</w:t>
      </w:r>
    </w:p>
    <w:p w14:paraId="518F7F3F" w14:textId="77777777" w:rsidR="00811705" w:rsidRPr="00811705" w:rsidRDefault="00811705" w:rsidP="00811705">
      <w:pPr>
        <w:numPr>
          <w:ilvl w:val="0"/>
          <w:numId w:val="40"/>
        </w:numPr>
        <w:jc w:val="left"/>
        <w:rPr>
          <w:sz w:val="24"/>
          <w:szCs w:val="24"/>
        </w:rPr>
      </w:pPr>
      <w:r>
        <w:rPr>
          <w:b/>
          <w:bCs/>
          <w:sz w:val="24"/>
          <w:szCs w:val="24"/>
        </w:rPr>
        <w:t>Challenges in Family Participation and Eligibility Determination</w:t>
      </w:r>
    </w:p>
    <w:p w14:paraId="71763385" w14:textId="66C30D51" w:rsidR="2A84C87F" w:rsidRDefault="2A84C87F" w:rsidP="456BE292">
      <w:pPr>
        <w:numPr>
          <w:ilvl w:val="1"/>
          <w:numId w:val="40"/>
        </w:numPr>
        <w:jc w:val="left"/>
        <w:rPr>
          <w:sz w:val="24"/>
          <w:szCs w:val="24"/>
        </w:rPr>
      </w:pPr>
      <w:r>
        <w:rPr>
          <w:rFonts w:eastAsia="Roboto" w:cs="Roboto"/>
          <w:sz w:val="24"/>
          <w:szCs w:val="24"/>
        </w:rPr>
        <w:t xml:space="preserve">Concerns about family selection and eligibility determination </w:t>
      </w:r>
      <w:r w:rsidR="00296A77">
        <w:rPr>
          <w:rFonts w:eastAsia="Roboto" w:cs="Roboto"/>
          <w:sz w:val="24"/>
          <w:szCs w:val="24"/>
        </w:rPr>
        <w:t>were consistent</w:t>
      </w:r>
      <w:r>
        <w:rPr>
          <w:rFonts w:eastAsia="Roboto" w:cs="Roboto"/>
          <w:sz w:val="24"/>
          <w:szCs w:val="24"/>
        </w:rPr>
        <w:t xml:space="preserve"> </w:t>
      </w:r>
      <w:r w:rsidR="00296A77">
        <w:rPr>
          <w:rFonts w:eastAsia="Roboto" w:cs="Roboto"/>
          <w:sz w:val="24"/>
          <w:szCs w:val="24"/>
        </w:rPr>
        <w:t xml:space="preserve">in </w:t>
      </w:r>
      <w:r>
        <w:rPr>
          <w:rFonts w:eastAsia="Roboto" w:cs="Roboto"/>
          <w:sz w:val="24"/>
          <w:szCs w:val="24"/>
        </w:rPr>
        <w:t>both fiscal years. FY2024 responses reflected uncertainty about referral pathways and decision-making authority, and FY2025 findings reinforced the need for greater clarity, transparency, and documentation of eligibility criteria.</w:t>
      </w:r>
    </w:p>
    <w:p w14:paraId="09118495" w14:textId="77777777" w:rsidR="00811705" w:rsidRPr="00811705" w:rsidRDefault="00811705" w:rsidP="00811705">
      <w:pPr>
        <w:numPr>
          <w:ilvl w:val="1"/>
          <w:numId w:val="40"/>
        </w:numPr>
        <w:jc w:val="left"/>
        <w:rPr>
          <w:sz w:val="24"/>
          <w:szCs w:val="24"/>
        </w:rPr>
      </w:pPr>
      <w:r>
        <w:rPr>
          <w:sz w:val="24"/>
          <w:szCs w:val="24"/>
        </w:rPr>
        <w:t>Some respondents were unsure about how families are selected for participation, indicating a potential need for greater transparency or standardized decision-making processes.</w:t>
      </w:r>
    </w:p>
    <w:p w14:paraId="001802CD" w14:textId="43CD73FC" w:rsidR="00811705" w:rsidRPr="00811705" w:rsidRDefault="00811705" w:rsidP="00811705">
      <w:pPr>
        <w:numPr>
          <w:ilvl w:val="1"/>
          <w:numId w:val="40"/>
        </w:numPr>
        <w:jc w:val="left"/>
        <w:rPr>
          <w:sz w:val="24"/>
          <w:szCs w:val="24"/>
        </w:rPr>
      </w:pPr>
      <w:r>
        <w:rPr>
          <w:sz w:val="24"/>
          <w:szCs w:val="24"/>
        </w:rPr>
        <w:t>Child age and parental engagement were identified as primary eligibility factors, though responses suggest more clarity is needed in</w:t>
      </w:r>
      <w:r w:rsidR="00300E80">
        <w:rPr>
          <w:sz w:val="24"/>
          <w:szCs w:val="24"/>
        </w:rPr>
        <w:t xml:space="preserve"> what other</w:t>
      </w:r>
      <w:r>
        <w:rPr>
          <w:sz w:val="24"/>
          <w:szCs w:val="24"/>
        </w:rPr>
        <w:t xml:space="preserve"> selection criteria</w:t>
      </w:r>
      <w:r w:rsidR="00300E80">
        <w:rPr>
          <w:sz w:val="24"/>
          <w:szCs w:val="24"/>
        </w:rPr>
        <w:t xml:space="preserve"> are applied</w:t>
      </w:r>
      <w:r>
        <w:rPr>
          <w:sz w:val="24"/>
          <w:szCs w:val="24"/>
        </w:rPr>
        <w:t>.</w:t>
      </w:r>
    </w:p>
    <w:p w14:paraId="34302E91" w14:textId="77777777" w:rsidR="00811705" w:rsidRPr="00811705" w:rsidRDefault="00811705" w:rsidP="00811705">
      <w:pPr>
        <w:numPr>
          <w:ilvl w:val="0"/>
          <w:numId w:val="40"/>
        </w:numPr>
        <w:jc w:val="left"/>
        <w:rPr>
          <w:sz w:val="24"/>
          <w:szCs w:val="24"/>
        </w:rPr>
      </w:pPr>
      <w:r>
        <w:rPr>
          <w:b/>
          <w:bCs/>
          <w:sz w:val="24"/>
          <w:szCs w:val="24"/>
        </w:rPr>
        <w:t>Training Needs and Cross-Disciplinary Collaboration</w:t>
      </w:r>
    </w:p>
    <w:p w14:paraId="37773E14" w14:textId="77777777" w:rsidR="00811705" w:rsidRPr="00811705" w:rsidRDefault="00811705" w:rsidP="00811705">
      <w:pPr>
        <w:numPr>
          <w:ilvl w:val="1"/>
          <w:numId w:val="40"/>
        </w:numPr>
        <w:jc w:val="left"/>
        <w:rPr>
          <w:sz w:val="24"/>
          <w:szCs w:val="24"/>
        </w:rPr>
      </w:pPr>
      <w:r>
        <w:rPr>
          <w:sz w:val="24"/>
          <w:szCs w:val="24"/>
        </w:rPr>
        <w:t>A lack of shared understanding of trauma-responsive practices across disciplines was identified.</w:t>
      </w:r>
    </w:p>
    <w:p w14:paraId="74955EBA" w14:textId="77777777" w:rsidR="00811705" w:rsidRPr="00811705" w:rsidRDefault="00811705" w:rsidP="00811705">
      <w:pPr>
        <w:numPr>
          <w:ilvl w:val="1"/>
          <w:numId w:val="40"/>
        </w:numPr>
        <w:jc w:val="left"/>
        <w:rPr>
          <w:sz w:val="24"/>
          <w:szCs w:val="24"/>
        </w:rPr>
      </w:pPr>
      <w:r>
        <w:rPr>
          <w:sz w:val="24"/>
          <w:szCs w:val="24"/>
        </w:rPr>
        <w:t>Some legal professionals may not fully integrate trauma-informed approaches when working with families.</w:t>
      </w:r>
    </w:p>
    <w:p w14:paraId="7B1816B1" w14:textId="38BEE45C" w:rsidR="00811705" w:rsidRPr="00811705" w:rsidRDefault="00811705" w:rsidP="00811705">
      <w:pPr>
        <w:numPr>
          <w:ilvl w:val="1"/>
          <w:numId w:val="40"/>
        </w:numPr>
        <w:jc w:val="left"/>
        <w:rPr>
          <w:sz w:val="24"/>
          <w:szCs w:val="24"/>
        </w:rPr>
      </w:pPr>
      <w:r>
        <w:rPr>
          <w:sz w:val="24"/>
          <w:szCs w:val="24"/>
        </w:rPr>
        <w:t>Respondents called for collaborative problem-solving training and increased opportunities for case consultation across professions.</w:t>
      </w:r>
    </w:p>
    <w:p w14:paraId="765F3F0C" w14:textId="0238F377" w:rsidR="0BF5A9AC" w:rsidRDefault="0BF5A9AC" w:rsidP="456BE292">
      <w:pPr>
        <w:pStyle w:val="ListParagraph"/>
        <w:numPr>
          <w:ilvl w:val="0"/>
          <w:numId w:val="40"/>
        </w:numPr>
        <w:jc w:val="left"/>
        <w:rPr>
          <w:b/>
          <w:bCs/>
          <w:sz w:val="24"/>
          <w:szCs w:val="24"/>
        </w:rPr>
      </w:pPr>
      <w:r>
        <w:rPr>
          <w:b/>
          <w:bCs/>
          <w:sz w:val="24"/>
          <w:szCs w:val="24"/>
        </w:rPr>
        <w:t>Professional Development</w:t>
      </w:r>
    </w:p>
    <w:p w14:paraId="752CFF5F" w14:textId="5D592B2D" w:rsidR="0BF5A9AC" w:rsidRDefault="0BF5A9AC" w:rsidP="456BE292">
      <w:pPr>
        <w:pStyle w:val="ListParagraph"/>
        <w:numPr>
          <w:ilvl w:val="1"/>
          <w:numId w:val="40"/>
        </w:numPr>
        <w:jc w:val="left"/>
        <w:rPr>
          <w:sz w:val="24"/>
          <w:szCs w:val="24"/>
        </w:rPr>
      </w:pPr>
      <w:r>
        <w:rPr>
          <w:sz w:val="24"/>
          <w:szCs w:val="24"/>
        </w:rPr>
        <w:t>Report</w:t>
      </w:r>
      <w:r w:rsidR="00300E80">
        <w:rPr>
          <w:sz w:val="24"/>
          <w:szCs w:val="24"/>
        </w:rPr>
        <w:t>s about</w:t>
      </w:r>
      <w:r>
        <w:rPr>
          <w:sz w:val="24"/>
          <w:szCs w:val="24"/>
        </w:rPr>
        <w:t xml:space="preserve"> professional skill development </w:t>
      </w:r>
      <w:r w:rsidR="00300E80">
        <w:rPr>
          <w:sz w:val="24"/>
          <w:szCs w:val="24"/>
        </w:rPr>
        <w:t>being affected by involvement in the Safe Babies approach</w:t>
      </w:r>
      <w:r>
        <w:rPr>
          <w:sz w:val="24"/>
          <w:szCs w:val="24"/>
        </w:rPr>
        <w:t xml:space="preserve"> </w:t>
      </w:r>
      <w:proofErr w:type="gramStart"/>
      <w:r>
        <w:rPr>
          <w:sz w:val="24"/>
          <w:szCs w:val="24"/>
        </w:rPr>
        <w:t>suggest</w:t>
      </w:r>
      <w:r w:rsidR="00300E80">
        <w:rPr>
          <w:sz w:val="24"/>
          <w:szCs w:val="24"/>
        </w:rPr>
        <w:t>s</w:t>
      </w:r>
      <w:proofErr w:type="gramEnd"/>
      <w:r>
        <w:rPr>
          <w:sz w:val="24"/>
          <w:szCs w:val="24"/>
        </w:rPr>
        <w:t xml:space="preserve"> that Safe Babies continues to function as an important interdisciplinary learning and capacity-building structure for participating professionals.</w:t>
      </w:r>
    </w:p>
    <w:p w14:paraId="125DF1C1" w14:textId="77777777" w:rsidR="00300E80" w:rsidRDefault="00300E80" w:rsidP="00D62152">
      <w:pPr>
        <w:pStyle w:val="ListParagraph"/>
        <w:ind w:left="1440"/>
        <w:jc w:val="left"/>
        <w:rPr>
          <w:sz w:val="24"/>
          <w:szCs w:val="24"/>
        </w:rPr>
      </w:pPr>
    </w:p>
    <w:p w14:paraId="2C4943C1" w14:textId="77777777" w:rsidR="00F3074A" w:rsidRDefault="00F3074A" w:rsidP="00811705">
      <w:pPr>
        <w:jc w:val="left"/>
        <w:rPr>
          <w:b/>
          <w:bCs/>
          <w:i/>
          <w:iCs/>
          <w:sz w:val="24"/>
          <w:szCs w:val="24"/>
        </w:rPr>
      </w:pPr>
    </w:p>
    <w:p w14:paraId="0564D0A5" w14:textId="77777777" w:rsidR="00F3074A" w:rsidRDefault="00F3074A" w:rsidP="00811705">
      <w:pPr>
        <w:jc w:val="left"/>
        <w:rPr>
          <w:b/>
          <w:bCs/>
          <w:i/>
          <w:iCs/>
          <w:sz w:val="24"/>
          <w:szCs w:val="24"/>
        </w:rPr>
      </w:pPr>
    </w:p>
    <w:p w14:paraId="5F27C8B7" w14:textId="77777777" w:rsidR="00F3074A" w:rsidRDefault="00F3074A" w:rsidP="00811705">
      <w:pPr>
        <w:jc w:val="left"/>
        <w:rPr>
          <w:b/>
          <w:bCs/>
          <w:i/>
          <w:iCs/>
          <w:sz w:val="24"/>
          <w:szCs w:val="24"/>
        </w:rPr>
      </w:pPr>
    </w:p>
    <w:p w14:paraId="662B7DFB" w14:textId="11B91B9B" w:rsidR="00811705" w:rsidRPr="006304F0" w:rsidRDefault="00811705" w:rsidP="00811705">
      <w:pPr>
        <w:jc w:val="left"/>
        <w:rPr>
          <w:b/>
          <w:bCs/>
          <w:i/>
          <w:iCs/>
          <w:sz w:val="24"/>
          <w:szCs w:val="24"/>
        </w:rPr>
      </w:pPr>
      <w:r w:rsidRPr="006304F0">
        <w:rPr>
          <w:b/>
          <w:bCs/>
          <w:i/>
          <w:iCs/>
          <w:sz w:val="24"/>
          <w:szCs w:val="24"/>
        </w:rPr>
        <w:t xml:space="preserve">Recommendations </w:t>
      </w:r>
    </w:p>
    <w:p w14:paraId="2D8D05CA" w14:textId="124AD8D9" w:rsidR="00811705" w:rsidRPr="00811705" w:rsidRDefault="00811705" w:rsidP="00811705">
      <w:pPr>
        <w:jc w:val="left"/>
        <w:rPr>
          <w:sz w:val="24"/>
          <w:szCs w:val="24"/>
        </w:rPr>
      </w:pPr>
      <w:r>
        <w:rPr>
          <w:sz w:val="24"/>
          <w:szCs w:val="24"/>
        </w:rPr>
        <w:t xml:space="preserve">To strengthen ITCP implementation </w:t>
      </w:r>
      <w:r w:rsidR="00FB14E9">
        <w:rPr>
          <w:sz w:val="24"/>
          <w:szCs w:val="24"/>
        </w:rPr>
        <w:t xml:space="preserve">based on </w:t>
      </w:r>
      <w:r>
        <w:rPr>
          <w:sz w:val="24"/>
          <w:szCs w:val="24"/>
        </w:rPr>
        <w:t>ongoing evaluation, the following recommendations</w:t>
      </w:r>
      <w:r w:rsidR="00FB14E9">
        <w:rPr>
          <w:sz w:val="24"/>
          <w:szCs w:val="24"/>
        </w:rPr>
        <w:t xml:space="preserve"> are proposed</w:t>
      </w:r>
      <w:r>
        <w:rPr>
          <w:sz w:val="24"/>
          <w:szCs w:val="24"/>
        </w:rPr>
        <w:t>:</w:t>
      </w:r>
    </w:p>
    <w:p w14:paraId="1623D6AD" w14:textId="13049AD0" w:rsidR="00811705" w:rsidRPr="00811705" w:rsidRDefault="00811705" w:rsidP="00811705">
      <w:pPr>
        <w:numPr>
          <w:ilvl w:val="0"/>
          <w:numId w:val="41"/>
        </w:numPr>
        <w:jc w:val="left"/>
        <w:rPr>
          <w:sz w:val="24"/>
          <w:szCs w:val="24"/>
        </w:rPr>
      </w:pPr>
      <w:r>
        <w:rPr>
          <w:b/>
          <w:bCs/>
          <w:sz w:val="24"/>
          <w:szCs w:val="24"/>
        </w:rPr>
        <w:t xml:space="preserve">Integrate Evaluation into Routine Meetings to </w:t>
      </w:r>
      <w:r w:rsidR="00224E3D">
        <w:rPr>
          <w:b/>
          <w:bCs/>
          <w:sz w:val="24"/>
          <w:szCs w:val="24"/>
        </w:rPr>
        <w:t>i</w:t>
      </w:r>
      <w:r>
        <w:rPr>
          <w:b/>
          <w:bCs/>
          <w:sz w:val="24"/>
          <w:szCs w:val="24"/>
        </w:rPr>
        <w:t xml:space="preserve">mprove </w:t>
      </w:r>
      <w:r w:rsidR="00224E3D">
        <w:rPr>
          <w:b/>
          <w:bCs/>
          <w:sz w:val="24"/>
          <w:szCs w:val="24"/>
        </w:rPr>
        <w:t>familiarity with the evaluation process and capitalize on the availability of data for continuous quality improvement purposes</w:t>
      </w:r>
    </w:p>
    <w:p w14:paraId="77EF587A" w14:textId="3DF1D256" w:rsidR="00811705" w:rsidRPr="00811705" w:rsidRDefault="00224E3D" w:rsidP="00811705">
      <w:pPr>
        <w:numPr>
          <w:ilvl w:val="1"/>
          <w:numId w:val="41"/>
        </w:numPr>
        <w:jc w:val="left"/>
        <w:rPr>
          <w:sz w:val="24"/>
          <w:szCs w:val="24"/>
        </w:rPr>
      </w:pPr>
      <w:r>
        <w:rPr>
          <w:sz w:val="24"/>
          <w:szCs w:val="24"/>
        </w:rPr>
        <w:t xml:space="preserve">Better integration of evaluation may also serve to engage </w:t>
      </w:r>
      <w:r w:rsidR="00811705">
        <w:rPr>
          <w:sz w:val="24"/>
          <w:szCs w:val="24"/>
        </w:rPr>
        <w:t>survey participation</w:t>
      </w:r>
      <w:r>
        <w:rPr>
          <w:sz w:val="24"/>
          <w:szCs w:val="24"/>
        </w:rPr>
        <w:t xml:space="preserve"> in</w:t>
      </w:r>
      <w:r w:rsidR="00811705">
        <w:rPr>
          <w:sz w:val="24"/>
          <w:szCs w:val="24"/>
        </w:rPr>
        <w:t xml:space="preserve"> future data collection efforts</w:t>
      </w:r>
      <w:r>
        <w:rPr>
          <w:sz w:val="24"/>
          <w:szCs w:val="24"/>
        </w:rPr>
        <w:t xml:space="preserve">. </w:t>
      </w:r>
      <w:r w:rsidR="0059493B">
        <w:rPr>
          <w:sz w:val="24"/>
          <w:szCs w:val="24"/>
        </w:rPr>
        <w:t>E</w:t>
      </w:r>
      <w:r w:rsidR="00811705">
        <w:rPr>
          <w:sz w:val="24"/>
          <w:szCs w:val="24"/>
        </w:rPr>
        <w:t>mbed</w:t>
      </w:r>
      <w:r w:rsidR="0059493B">
        <w:rPr>
          <w:sz w:val="24"/>
          <w:szCs w:val="24"/>
        </w:rPr>
        <w:t>ding systematic data collection</w:t>
      </w:r>
      <w:r w:rsidR="00811705">
        <w:rPr>
          <w:sz w:val="24"/>
          <w:szCs w:val="24"/>
        </w:rPr>
        <w:t xml:space="preserve"> into scheduled meetings, </w:t>
      </w:r>
      <w:r w:rsidR="00CE4907">
        <w:rPr>
          <w:sz w:val="24"/>
          <w:szCs w:val="24"/>
        </w:rPr>
        <w:t>(e.g.,</w:t>
      </w:r>
      <w:r w:rsidR="00811705">
        <w:rPr>
          <w:sz w:val="24"/>
          <w:szCs w:val="24"/>
        </w:rPr>
        <w:t xml:space="preserve"> focus groups</w:t>
      </w:r>
      <w:r w:rsidR="00CE4907">
        <w:rPr>
          <w:sz w:val="24"/>
          <w:szCs w:val="24"/>
        </w:rPr>
        <w:t xml:space="preserve">, </w:t>
      </w:r>
      <w:r w:rsidR="00811705">
        <w:rPr>
          <w:sz w:val="24"/>
          <w:szCs w:val="24"/>
        </w:rPr>
        <w:t>structured discussions</w:t>
      </w:r>
      <w:r w:rsidR="00CE4907">
        <w:rPr>
          <w:sz w:val="24"/>
          <w:szCs w:val="24"/>
        </w:rPr>
        <w:t>) can also contribute to consensus building and improved decision-making</w:t>
      </w:r>
      <w:r w:rsidR="00811705">
        <w:rPr>
          <w:sz w:val="24"/>
          <w:szCs w:val="24"/>
        </w:rPr>
        <w:t>.</w:t>
      </w:r>
    </w:p>
    <w:p w14:paraId="342231EA" w14:textId="325D262A" w:rsidR="00811705" w:rsidRPr="00811705" w:rsidRDefault="00811705" w:rsidP="00811705">
      <w:pPr>
        <w:numPr>
          <w:ilvl w:val="1"/>
          <w:numId w:val="41"/>
        </w:numPr>
        <w:jc w:val="left"/>
        <w:rPr>
          <w:sz w:val="24"/>
          <w:szCs w:val="24"/>
        </w:rPr>
      </w:pPr>
      <w:hyperlink r:id="rId39" w:history="1">
        <w:r>
          <w:rPr>
            <w:rStyle w:val="Hyperlink"/>
            <w:rFonts w:ascii="Roboto" w:hAnsi="Roboto"/>
            <w:sz w:val="24"/>
            <w:szCs w:val="24"/>
          </w:rPr>
          <w:t>Research</w:t>
        </w:r>
      </w:hyperlink>
      <w:r>
        <w:rPr>
          <w:sz w:val="24"/>
          <w:szCs w:val="24"/>
        </w:rPr>
        <w:t xml:space="preserve"> suggests that integrating evaluations within routine work activities reduces burden and improves response rates.</w:t>
      </w:r>
    </w:p>
    <w:p w14:paraId="1EE19F93" w14:textId="77777777" w:rsidR="00811705" w:rsidRPr="00811705" w:rsidRDefault="00811705" w:rsidP="00811705">
      <w:pPr>
        <w:numPr>
          <w:ilvl w:val="0"/>
          <w:numId w:val="41"/>
        </w:numPr>
        <w:jc w:val="left"/>
        <w:rPr>
          <w:sz w:val="24"/>
          <w:szCs w:val="24"/>
        </w:rPr>
      </w:pPr>
      <w:r>
        <w:rPr>
          <w:b/>
          <w:bCs/>
          <w:sz w:val="24"/>
          <w:szCs w:val="24"/>
        </w:rPr>
        <w:t>Conduct Focus Groups with Stakeholders and Leadership</w:t>
      </w:r>
    </w:p>
    <w:p w14:paraId="50B37B68" w14:textId="6165226E" w:rsidR="00811705" w:rsidRPr="00811705" w:rsidRDefault="00811705" w:rsidP="00811705">
      <w:pPr>
        <w:numPr>
          <w:ilvl w:val="1"/>
          <w:numId w:val="41"/>
        </w:numPr>
        <w:jc w:val="left"/>
        <w:rPr>
          <w:sz w:val="24"/>
          <w:szCs w:val="24"/>
        </w:rPr>
      </w:pPr>
      <w:r>
        <w:rPr>
          <w:sz w:val="24"/>
          <w:szCs w:val="24"/>
        </w:rPr>
        <w:t xml:space="preserve">Given the limited survey responses, follow-up focus groups </w:t>
      </w:r>
      <w:r w:rsidR="00CE4907">
        <w:rPr>
          <w:sz w:val="24"/>
          <w:szCs w:val="24"/>
        </w:rPr>
        <w:t>should</w:t>
      </w:r>
      <w:r w:rsidR="009B13AA">
        <w:rPr>
          <w:sz w:val="24"/>
          <w:szCs w:val="24"/>
        </w:rPr>
        <w:t xml:space="preserve"> </w:t>
      </w:r>
      <w:r>
        <w:rPr>
          <w:sz w:val="24"/>
          <w:szCs w:val="24"/>
        </w:rPr>
        <w:t>be conducted in early fall with both stakeholders and leadership teams.</w:t>
      </w:r>
    </w:p>
    <w:p w14:paraId="109216AE" w14:textId="66FD1E74" w:rsidR="00811705" w:rsidRPr="00811705" w:rsidRDefault="00811705" w:rsidP="00811705">
      <w:pPr>
        <w:numPr>
          <w:ilvl w:val="1"/>
          <w:numId w:val="41"/>
        </w:numPr>
        <w:jc w:val="left"/>
        <w:rPr>
          <w:sz w:val="24"/>
          <w:szCs w:val="24"/>
        </w:rPr>
      </w:pPr>
      <w:r>
        <w:rPr>
          <w:sz w:val="24"/>
          <w:szCs w:val="24"/>
        </w:rPr>
        <w:t xml:space="preserve">These discussions will provide </w:t>
      </w:r>
      <w:r w:rsidR="00CE4907">
        <w:rPr>
          <w:sz w:val="24"/>
          <w:szCs w:val="24"/>
        </w:rPr>
        <w:t>more robust</w:t>
      </w:r>
      <w:r>
        <w:rPr>
          <w:sz w:val="24"/>
          <w:szCs w:val="24"/>
        </w:rPr>
        <w:t xml:space="preserve"> qualitative insights into workforce diversity, family selection processes, and evidence-based practice implementation.</w:t>
      </w:r>
    </w:p>
    <w:p w14:paraId="4F7CD924" w14:textId="77777777" w:rsidR="00811705" w:rsidRPr="00811705" w:rsidRDefault="00811705" w:rsidP="00811705">
      <w:pPr>
        <w:numPr>
          <w:ilvl w:val="0"/>
          <w:numId w:val="41"/>
        </w:numPr>
        <w:jc w:val="left"/>
        <w:rPr>
          <w:sz w:val="24"/>
          <w:szCs w:val="24"/>
        </w:rPr>
      </w:pPr>
      <w:r>
        <w:rPr>
          <w:b/>
          <w:bCs/>
          <w:sz w:val="24"/>
          <w:szCs w:val="24"/>
        </w:rPr>
        <w:t>Expand Training on Trauma-Informed Collaboration and Equity Practices</w:t>
      </w:r>
    </w:p>
    <w:p w14:paraId="03A3224F" w14:textId="77777777" w:rsidR="00811705" w:rsidRPr="00811705" w:rsidRDefault="00811705" w:rsidP="00811705">
      <w:pPr>
        <w:numPr>
          <w:ilvl w:val="1"/>
          <w:numId w:val="41"/>
        </w:numPr>
        <w:jc w:val="left"/>
        <w:rPr>
          <w:sz w:val="24"/>
          <w:szCs w:val="24"/>
        </w:rPr>
      </w:pPr>
      <w:r>
        <w:rPr>
          <w:sz w:val="24"/>
          <w:szCs w:val="24"/>
        </w:rPr>
        <w:t>Interdisciplinary training should be prioritized to address barriers in cross-professional collaboration, especially between legal professionals, child welfare workers, and therapists.</w:t>
      </w:r>
    </w:p>
    <w:p w14:paraId="2467D737" w14:textId="6444AAB0" w:rsidR="00811705" w:rsidRPr="00811705" w:rsidRDefault="005A5105" w:rsidP="00811705">
      <w:pPr>
        <w:numPr>
          <w:ilvl w:val="1"/>
          <w:numId w:val="41"/>
        </w:numPr>
        <w:jc w:val="left"/>
        <w:rPr>
          <w:sz w:val="24"/>
          <w:szCs w:val="24"/>
        </w:rPr>
      </w:pPr>
      <w:hyperlink r:id="rId40" w:history="1">
        <w:r>
          <w:rPr>
            <w:rStyle w:val="Hyperlink"/>
            <w:rFonts w:ascii="Roboto" w:hAnsi="Roboto"/>
            <w:sz w:val="24"/>
            <w:szCs w:val="24"/>
          </w:rPr>
          <w:t>Research</w:t>
        </w:r>
      </w:hyperlink>
      <w:r>
        <w:rPr>
          <w:sz w:val="24"/>
          <w:szCs w:val="24"/>
        </w:rPr>
        <w:t xml:space="preserve"> suggests that specific training on racial equity and trauma-informed decision-making could help improve family engagement and workforce diversity.</w:t>
      </w:r>
    </w:p>
    <w:p w14:paraId="3EB81A65" w14:textId="77777777" w:rsidR="00811705" w:rsidRPr="00811705" w:rsidRDefault="00811705" w:rsidP="00811705">
      <w:pPr>
        <w:numPr>
          <w:ilvl w:val="0"/>
          <w:numId w:val="41"/>
        </w:numPr>
        <w:jc w:val="left"/>
        <w:rPr>
          <w:sz w:val="24"/>
          <w:szCs w:val="24"/>
        </w:rPr>
      </w:pPr>
      <w:r>
        <w:rPr>
          <w:b/>
          <w:bCs/>
          <w:sz w:val="24"/>
          <w:szCs w:val="24"/>
        </w:rPr>
        <w:t>Enhance Transparency in Family Selection Criteria</w:t>
      </w:r>
    </w:p>
    <w:p w14:paraId="37D95E1F" w14:textId="55D47CEF" w:rsidR="00811705" w:rsidRPr="00811705" w:rsidRDefault="00811705" w:rsidP="00811705">
      <w:pPr>
        <w:numPr>
          <w:ilvl w:val="1"/>
          <w:numId w:val="41"/>
        </w:numPr>
        <w:jc w:val="left"/>
        <w:rPr>
          <w:sz w:val="24"/>
          <w:szCs w:val="24"/>
        </w:rPr>
      </w:pPr>
      <w:r>
        <w:rPr>
          <w:sz w:val="24"/>
          <w:szCs w:val="24"/>
        </w:rPr>
        <w:t>Clarify and communicate the process for determining family eligibility to ITCP professionals, ensuring that all stakeholders understand how and why families are selected.</w:t>
      </w:r>
    </w:p>
    <w:p w14:paraId="65316597" w14:textId="00772451" w:rsidR="00F3074A" w:rsidRPr="00E5286F" w:rsidRDefault="00811705" w:rsidP="00E5286F">
      <w:pPr>
        <w:numPr>
          <w:ilvl w:val="1"/>
          <w:numId w:val="41"/>
        </w:numPr>
        <w:jc w:val="left"/>
        <w:rPr>
          <w:sz w:val="24"/>
          <w:szCs w:val="24"/>
        </w:rPr>
      </w:pPr>
      <w:r>
        <w:rPr>
          <w:sz w:val="24"/>
          <w:szCs w:val="24"/>
        </w:rPr>
        <w:t>Developing a written framework</w:t>
      </w:r>
      <w:r w:rsidR="00F3074A">
        <w:rPr>
          <w:sz w:val="24"/>
          <w:szCs w:val="24"/>
        </w:rPr>
        <w:t xml:space="preserve"> or decision tree</w:t>
      </w:r>
      <w:r>
        <w:rPr>
          <w:sz w:val="24"/>
          <w:szCs w:val="24"/>
        </w:rPr>
        <w:t xml:space="preserve"> for decision-making </w:t>
      </w:r>
      <w:r w:rsidR="00F3074A">
        <w:rPr>
          <w:sz w:val="24"/>
          <w:szCs w:val="24"/>
        </w:rPr>
        <w:t xml:space="preserve">about eligibility and intake </w:t>
      </w:r>
      <w:r>
        <w:rPr>
          <w:sz w:val="24"/>
          <w:szCs w:val="24"/>
        </w:rPr>
        <w:t xml:space="preserve">could help </w:t>
      </w:r>
      <w:r w:rsidR="00F3074A">
        <w:rPr>
          <w:sz w:val="24"/>
          <w:szCs w:val="24"/>
        </w:rPr>
        <w:t>clarify</w:t>
      </w:r>
      <w:r>
        <w:rPr>
          <w:sz w:val="24"/>
          <w:szCs w:val="24"/>
        </w:rPr>
        <w:t xml:space="preserve"> </w:t>
      </w:r>
      <w:r w:rsidR="00F3074A">
        <w:rPr>
          <w:sz w:val="24"/>
          <w:szCs w:val="24"/>
        </w:rPr>
        <w:t xml:space="preserve">issues about </w:t>
      </w:r>
      <w:r>
        <w:rPr>
          <w:sz w:val="24"/>
          <w:szCs w:val="24"/>
        </w:rPr>
        <w:t>participation.</w:t>
      </w:r>
    </w:p>
    <w:p w14:paraId="7F622799" w14:textId="144BF943" w:rsidR="00811705" w:rsidRPr="00F3074A" w:rsidRDefault="00811705" w:rsidP="00F3074A">
      <w:pPr>
        <w:numPr>
          <w:ilvl w:val="0"/>
          <w:numId w:val="41"/>
        </w:numPr>
        <w:jc w:val="left"/>
        <w:rPr>
          <w:sz w:val="24"/>
          <w:szCs w:val="24"/>
        </w:rPr>
      </w:pPr>
      <w:r w:rsidRPr="00F3074A">
        <w:rPr>
          <w:b/>
          <w:bCs/>
          <w:sz w:val="24"/>
          <w:szCs w:val="24"/>
        </w:rPr>
        <w:lastRenderedPageBreak/>
        <w:t>Advocate for Increased Resources to Support Evidence-Based Practices</w:t>
      </w:r>
    </w:p>
    <w:p w14:paraId="739607D9" w14:textId="57B85045" w:rsidR="00811705" w:rsidRPr="00811705" w:rsidRDefault="00811705" w:rsidP="00811705">
      <w:pPr>
        <w:numPr>
          <w:ilvl w:val="1"/>
          <w:numId w:val="41"/>
        </w:numPr>
        <w:jc w:val="left"/>
        <w:rPr>
          <w:sz w:val="24"/>
          <w:szCs w:val="24"/>
        </w:rPr>
      </w:pPr>
      <w:r>
        <w:rPr>
          <w:sz w:val="24"/>
          <w:szCs w:val="24"/>
        </w:rPr>
        <w:t xml:space="preserve">Findings suggest a need for greater investment in provider training, funding for </w:t>
      </w:r>
      <w:r w:rsidR="00F3074A">
        <w:rPr>
          <w:sz w:val="24"/>
          <w:szCs w:val="24"/>
        </w:rPr>
        <w:t xml:space="preserve">implementing </w:t>
      </w:r>
      <w:r>
        <w:rPr>
          <w:sz w:val="24"/>
          <w:szCs w:val="24"/>
        </w:rPr>
        <w:t xml:space="preserve">evidence-based </w:t>
      </w:r>
      <w:r w:rsidR="00F3074A">
        <w:rPr>
          <w:sz w:val="24"/>
          <w:szCs w:val="24"/>
        </w:rPr>
        <w:t>practices</w:t>
      </w:r>
      <w:r>
        <w:rPr>
          <w:sz w:val="24"/>
          <w:szCs w:val="24"/>
        </w:rPr>
        <w:t>, and workforce stabilization efforts.</w:t>
      </w:r>
    </w:p>
    <w:p w14:paraId="5DB805FE" w14:textId="61266834" w:rsidR="00811705" w:rsidRDefault="00811705" w:rsidP="00811705">
      <w:pPr>
        <w:numPr>
          <w:ilvl w:val="1"/>
          <w:numId w:val="41"/>
        </w:numPr>
        <w:jc w:val="left"/>
        <w:rPr>
          <w:sz w:val="24"/>
          <w:szCs w:val="24"/>
        </w:rPr>
      </w:pPr>
      <w:r>
        <w:rPr>
          <w:sz w:val="24"/>
          <w:szCs w:val="24"/>
        </w:rPr>
        <w:t xml:space="preserve">State and local leaders </w:t>
      </w:r>
      <w:r w:rsidR="00F3074A">
        <w:rPr>
          <w:sz w:val="24"/>
          <w:szCs w:val="24"/>
        </w:rPr>
        <w:t>have the most access and could</w:t>
      </w:r>
      <w:r>
        <w:rPr>
          <w:sz w:val="24"/>
          <w:szCs w:val="24"/>
        </w:rPr>
        <w:t xml:space="preserve"> explore policy options for increasing provider capacity in trauma-focused interventions.</w:t>
      </w:r>
    </w:p>
    <w:p w14:paraId="45C210D5" w14:textId="77777777" w:rsidR="000F18BF" w:rsidRDefault="000F18BF" w:rsidP="000F18BF">
      <w:pPr>
        <w:jc w:val="left"/>
        <w:rPr>
          <w:sz w:val="24"/>
          <w:szCs w:val="24"/>
        </w:rPr>
      </w:pPr>
    </w:p>
    <w:p w14:paraId="1CD91F18" w14:textId="77777777" w:rsidR="000F18BF" w:rsidRDefault="000F18BF" w:rsidP="000F18BF">
      <w:pPr>
        <w:jc w:val="left"/>
        <w:rPr>
          <w:sz w:val="24"/>
          <w:szCs w:val="24"/>
        </w:rPr>
      </w:pPr>
    </w:p>
    <w:p w14:paraId="59E2F4BD" w14:textId="77777777" w:rsidR="003126E2" w:rsidRDefault="003126E2" w:rsidP="000F18BF">
      <w:pPr>
        <w:jc w:val="left"/>
        <w:rPr>
          <w:sz w:val="24"/>
          <w:szCs w:val="24"/>
        </w:rPr>
      </w:pPr>
    </w:p>
    <w:p w14:paraId="4795BAC3" w14:textId="77777777" w:rsidR="003126E2" w:rsidRDefault="003126E2" w:rsidP="000F18BF">
      <w:pPr>
        <w:jc w:val="left"/>
        <w:rPr>
          <w:sz w:val="24"/>
          <w:szCs w:val="24"/>
        </w:rPr>
      </w:pPr>
    </w:p>
    <w:p w14:paraId="3AD491B7" w14:textId="77777777" w:rsidR="003126E2" w:rsidRDefault="003126E2" w:rsidP="000F18BF">
      <w:pPr>
        <w:jc w:val="left"/>
        <w:rPr>
          <w:sz w:val="24"/>
          <w:szCs w:val="24"/>
        </w:rPr>
      </w:pPr>
    </w:p>
    <w:p w14:paraId="3FD83C11" w14:textId="77777777" w:rsidR="003126E2" w:rsidRDefault="003126E2" w:rsidP="000F18BF">
      <w:pPr>
        <w:jc w:val="left"/>
        <w:rPr>
          <w:sz w:val="24"/>
          <w:szCs w:val="24"/>
        </w:rPr>
      </w:pPr>
    </w:p>
    <w:p w14:paraId="6A6EDF0C" w14:textId="77777777" w:rsidR="003126E2" w:rsidRDefault="003126E2" w:rsidP="000F18BF">
      <w:pPr>
        <w:jc w:val="left"/>
        <w:rPr>
          <w:sz w:val="24"/>
          <w:szCs w:val="24"/>
        </w:rPr>
      </w:pPr>
    </w:p>
    <w:p w14:paraId="6F4DDB34" w14:textId="77777777" w:rsidR="000F18BF" w:rsidRDefault="000F18BF" w:rsidP="000F18BF">
      <w:pPr>
        <w:jc w:val="left"/>
        <w:rPr>
          <w:sz w:val="24"/>
          <w:szCs w:val="24"/>
        </w:rPr>
      </w:pPr>
    </w:p>
    <w:p w14:paraId="5282CCCE" w14:textId="77777777" w:rsidR="00E5286F" w:rsidRDefault="00E5286F">
      <w:pPr>
        <w:spacing w:before="0" w:after="0" w:line="240" w:lineRule="auto"/>
        <w:jc w:val="left"/>
        <w:rPr>
          <w:rFonts w:ascii="Times New Roman" w:hAnsi="Times New Roman"/>
          <w:b/>
          <w:bCs/>
          <w:sz w:val="24"/>
          <w:szCs w:val="24"/>
        </w:rPr>
      </w:pPr>
      <w:r>
        <w:rPr>
          <w:rFonts w:ascii="Times New Roman" w:hAnsi="Times New Roman"/>
          <w:b/>
          <w:bCs/>
          <w:sz w:val="24"/>
          <w:szCs w:val="24"/>
        </w:rPr>
        <w:br w:type="page"/>
      </w:r>
    </w:p>
    <w:p w14:paraId="6458A9C6" w14:textId="16D796A4" w:rsidR="000F18BF" w:rsidRPr="00E5286F" w:rsidRDefault="00F3074A" w:rsidP="000F18BF">
      <w:pPr>
        <w:jc w:val="left"/>
        <w:rPr>
          <w:b/>
          <w:bCs/>
          <w:sz w:val="24"/>
          <w:szCs w:val="24"/>
        </w:rPr>
      </w:pPr>
      <w:r w:rsidRPr="00E5286F">
        <w:rPr>
          <w:b/>
          <w:bCs/>
          <w:sz w:val="24"/>
          <w:szCs w:val="24"/>
        </w:rPr>
        <w:lastRenderedPageBreak/>
        <w:t>References</w:t>
      </w:r>
    </w:p>
    <w:p w14:paraId="391A1024" w14:textId="0448BF44" w:rsidR="000F18BF" w:rsidRPr="00E5286F" w:rsidRDefault="000F18BF" w:rsidP="000F18BF">
      <w:pPr>
        <w:jc w:val="left"/>
        <w:rPr>
          <w:sz w:val="24"/>
          <w:szCs w:val="24"/>
        </w:rPr>
      </w:pPr>
      <w:r w:rsidRPr="00E5286F">
        <w:rPr>
          <w:sz w:val="24"/>
          <w:szCs w:val="24"/>
        </w:rPr>
        <w:t xml:space="preserve">Joseph, J. et al. (2023) Child and family outcomes of the Safe Babies Court Team – A scoping review. Children and Youth Services Review 149. </w:t>
      </w:r>
      <w:hyperlink r:id="rId41" w:history="1">
        <w:r w:rsidRPr="00E5286F">
          <w:rPr>
            <w:rStyle w:val="Hyperlink"/>
            <w:rFonts w:ascii="Roboto" w:hAnsi="Roboto"/>
            <w:sz w:val="24"/>
            <w:szCs w:val="24"/>
          </w:rPr>
          <w:t>https://doi.org/10.1016/j.childyouth.2023.106956</w:t>
        </w:r>
      </w:hyperlink>
      <w:r w:rsidR="00CE50DA" w:rsidRPr="00E5286F">
        <w:rPr>
          <w:sz w:val="24"/>
          <w:szCs w:val="24"/>
        </w:rPr>
        <w:t>.</w:t>
      </w:r>
    </w:p>
    <w:p w14:paraId="2706792B" w14:textId="75DE57F6" w:rsidR="000F18BF" w:rsidRPr="00E5286F" w:rsidRDefault="005644EF" w:rsidP="000F18BF">
      <w:pPr>
        <w:jc w:val="left"/>
        <w:rPr>
          <w:sz w:val="24"/>
          <w:szCs w:val="24"/>
        </w:rPr>
      </w:pPr>
      <w:r w:rsidRPr="00E5286F">
        <w:rPr>
          <w:sz w:val="24"/>
          <w:szCs w:val="24"/>
        </w:rPr>
        <w:t xml:space="preserve">Zero to Three (2020). Located at </w:t>
      </w:r>
      <w:hyperlink r:id="rId42" w:history="1">
        <w:r w:rsidRPr="00E5286F">
          <w:rPr>
            <w:rStyle w:val="Hyperlink"/>
            <w:rFonts w:ascii="Roboto" w:hAnsi="Roboto"/>
            <w:sz w:val="24"/>
            <w:szCs w:val="24"/>
          </w:rPr>
          <w:t>www.zerotothree.org</w:t>
        </w:r>
      </w:hyperlink>
      <w:r w:rsidR="00CE50DA" w:rsidRPr="00E5286F">
        <w:rPr>
          <w:sz w:val="24"/>
          <w:szCs w:val="24"/>
        </w:rPr>
        <w:t>.</w:t>
      </w:r>
      <w:r w:rsidRPr="00E5286F">
        <w:rPr>
          <w:sz w:val="24"/>
          <w:szCs w:val="24"/>
        </w:rPr>
        <w:t xml:space="preserve"> </w:t>
      </w:r>
    </w:p>
    <w:p w14:paraId="41C40FBC" w14:textId="6DE16469" w:rsidR="00A74EF6" w:rsidRPr="00E5286F" w:rsidRDefault="001B2EFD" w:rsidP="00A74EF6">
      <w:pPr>
        <w:spacing w:line="240" w:lineRule="auto"/>
        <w:jc w:val="left"/>
        <w:rPr>
          <w:b/>
          <w:bCs/>
          <w:sz w:val="24"/>
          <w:szCs w:val="24"/>
        </w:rPr>
      </w:pPr>
      <w:r w:rsidRPr="00E5286F">
        <w:rPr>
          <w:sz w:val="24"/>
          <w:szCs w:val="24"/>
        </w:rPr>
        <w:t>Connell, C. et al. (201</w:t>
      </w:r>
      <w:r w:rsidR="00A74EF6" w:rsidRPr="00E5286F">
        <w:rPr>
          <w:sz w:val="24"/>
          <w:szCs w:val="24"/>
        </w:rPr>
        <w:t>9</w:t>
      </w:r>
      <w:r w:rsidRPr="00E5286F">
        <w:rPr>
          <w:sz w:val="24"/>
          <w:szCs w:val="24"/>
        </w:rPr>
        <w:t xml:space="preserve">). Enhancing Capacity for Trauma-informed Care in Child Welfare: Impact of a Statewide Systems Change Initiative. </w:t>
      </w:r>
      <w:r w:rsidR="00A74EF6" w:rsidRPr="00E5286F">
        <w:rPr>
          <w:sz w:val="24"/>
          <w:szCs w:val="24"/>
        </w:rPr>
        <w:t> Amer. Journal of Community Psychology.</w:t>
      </w:r>
      <w:r w:rsidR="00C0335D" w:rsidRPr="00E5286F">
        <w:rPr>
          <w:sz w:val="24"/>
          <w:szCs w:val="24"/>
        </w:rPr>
        <w:t xml:space="preserve"> </w:t>
      </w:r>
      <w:hyperlink r:id="rId43" w:history="1">
        <w:r w:rsidR="00A74EF6" w:rsidRPr="00E5286F">
          <w:rPr>
            <w:rStyle w:val="Hyperlink"/>
            <w:rFonts w:ascii="Roboto" w:hAnsi="Roboto"/>
            <w:b w:val="0"/>
            <w:bCs/>
            <w:color w:val="auto"/>
            <w:sz w:val="24"/>
            <w:szCs w:val="24"/>
          </w:rPr>
          <w:t>https://doi.org/10.1002/ajcp.12375</w:t>
        </w:r>
      </w:hyperlink>
      <w:r w:rsidR="00CE50DA" w:rsidRPr="00E5286F">
        <w:rPr>
          <w:sz w:val="24"/>
          <w:szCs w:val="24"/>
        </w:rPr>
        <w:t>.</w:t>
      </w:r>
    </w:p>
    <w:p w14:paraId="7EE0D53A" w14:textId="7AD60DA5" w:rsidR="000F18BF" w:rsidRPr="00E5286F" w:rsidRDefault="00F910D3" w:rsidP="00F910D3">
      <w:pPr>
        <w:spacing w:line="240" w:lineRule="auto"/>
        <w:jc w:val="left"/>
        <w:rPr>
          <w:sz w:val="24"/>
          <w:szCs w:val="24"/>
        </w:rPr>
      </w:pPr>
      <w:r w:rsidRPr="00E5286F">
        <w:rPr>
          <w:sz w:val="24"/>
          <w:szCs w:val="24"/>
        </w:rPr>
        <w:t>Bunting, L. et al</w:t>
      </w:r>
      <w:r w:rsidR="00014DB1" w:rsidRPr="00E5286F">
        <w:rPr>
          <w:sz w:val="24"/>
          <w:szCs w:val="24"/>
        </w:rPr>
        <w:t>. (2019). Trauma Informed Child Welfare Systems—A Rapid Evidence Review.</w:t>
      </w:r>
      <w:r w:rsidR="00B05484" w:rsidRPr="00E5286F">
        <w:rPr>
          <w:sz w:val="24"/>
          <w:szCs w:val="24"/>
        </w:rPr>
        <w:t xml:space="preserve"> Int J Environ Res Public Health. 2019 Jul 3;16(13):2365. </w:t>
      </w:r>
      <w:proofErr w:type="spellStart"/>
      <w:r w:rsidR="00B05484" w:rsidRPr="00E5286F">
        <w:rPr>
          <w:sz w:val="24"/>
          <w:szCs w:val="24"/>
        </w:rPr>
        <w:t>doi</w:t>
      </w:r>
      <w:proofErr w:type="spellEnd"/>
      <w:r w:rsidR="00B05484" w:rsidRPr="00E5286F">
        <w:rPr>
          <w:sz w:val="24"/>
          <w:szCs w:val="24"/>
        </w:rPr>
        <w:t>: </w:t>
      </w:r>
      <w:hyperlink r:id="rId44" w:tgtFrame="_blank" w:history="1">
        <w:r w:rsidR="00B05484" w:rsidRPr="00E5286F">
          <w:rPr>
            <w:rStyle w:val="Hyperlink"/>
            <w:rFonts w:ascii="Roboto" w:hAnsi="Roboto"/>
            <w:sz w:val="24"/>
            <w:szCs w:val="24"/>
          </w:rPr>
          <w:t>10.3390/ijerph16132365</w:t>
        </w:r>
      </w:hyperlink>
      <w:r w:rsidR="00CE50DA" w:rsidRPr="00E5286F">
        <w:rPr>
          <w:sz w:val="24"/>
          <w:szCs w:val="24"/>
        </w:rPr>
        <w:t>.</w:t>
      </w:r>
    </w:p>
    <w:p w14:paraId="32098D8A" w14:textId="77777777" w:rsidR="000F18BF" w:rsidRPr="00E5286F" w:rsidRDefault="000F18BF" w:rsidP="000F18BF">
      <w:pPr>
        <w:jc w:val="left"/>
        <w:rPr>
          <w:sz w:val="24"/>
          <w:szCs w:val="24"/>
        </w:rPr>
      </w:pPr>
    </w:p>
    <w:p w14:paraId="7725E31B" w14:textId="77777777" w:rsidR="000F18BF" w:rsidRPr="00E5286F" w:rsidRDefault="000F18BF" w:rsidP="000F18BF">
      <w:pPr>
        <w:jc w:val="left"/>
        <w:rPr>
          <w:sz w:val="24"/>
          <w:szCs w:val="24"/>
        </w:rPr>
      </w:pPr>
    </w:p>
    <w:p w14:paraId="56CDA4E8" w14:textId="77777777" w:rsidR="000F18BF" w:rsidRPr="00811705" w:rsidRDefault="000F18BF" w:rsidP="000F18BF">
      <w:pPr>
        <w:jc w:val="left"/>
        <w:rPr>
          <w:sz w:val="24"/>
          <w:szCs w:val="24"/>
        </w:rPr>
      </w:pPr>
    </w:p>
    <w:p w14:paraId="0E05D1CB" w14:textId="77777777" w:rsidR="00727A3C" w:rsidRPr="00811705" w:rsidRDefault="00727A3C" w:rsidP="0030737F">
      <w:pPr>
        <w:jc w:val="left"/>
        <w:rPr>
          <w:sz w:val="24"/>
          <w:szCs w:val="24"/>
        </w:rPr>
      </w:pPr>
    </w:p>
    <w:bookmarkEnd w:id="0"/>
    <w:p w14:paraId="63A2B512" w14:textId="314E4801" w:rsidR="008A59D9" w:rsidRPr="00811705" w:rsidRDefault="008A59D9" w:rsidP="0030737F">
      <w:pPr>
        <w:pStyle w:val="BodyText1"/>
        <w:rPr>
          <w:sz w:val="24"/>
          <w:szCs w:val="24"/>
        </w:rPr>
      </w:pPr>
    </w:p>
    <w:sectPr w:rsidR="008A59D9" w:rsidRPr="00811705" w:rsidSect="00D46AB5">
      <w:headerReference w:type="even" r:id="rId45"/>
      <w:headerReference w:type="default" r:id="rId46"/>
      <w:footerReference w:type="even" r:id="rId47"/>
      <w:footerReference w:type="default" r:id="rId48"/>
      <w:headerReference w:type="first" r:id="rId49"/>
      <w:pgSz w:w="12240" w:h="15840" w:code="1"/>
      <w:pgMar w:top="1872" w:right="1008" w:bottom="1008" w:left="1008" w:header="93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2ADCA" w14:textId="77777777" w:rsidR="0094369E" w:rsidRDefault="0094369E" w:rsidP="00782F2B">
      <w:r>
        <w:separator/>
      </w:r>
    </w:p>
  </w:endnote>
  <w:endnote w:type="continuationSeparator" w:id="0">
    <w:p w14:paraId="153A2172" w14:textId="77777777" w:rsidR="0094369E" w:rsidRDefault="0094369E" w:rsidP="00782F2B">
      <w:r>
        <w:continuationSeparator/>
      </w:r>
    </w:p>
  </w:endnote>
  <w:endnote w:type="continuationNotice" w:id="1">
    <w:p w14:paraId="13C5D81C" w14:textId="77777777" w:rsidR="0094369E" w:rsidRDefault="009436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F0FDA8FD-68C2-4CDF-8911-3E2E6A062523}"/>
    <w:embedBold r:id="rId2" w:fontKey="{333F140A-3EF0-4A16-900B-A36CAF28333A}"/>
    <w:embedItalic r:id="rId3" w:fontKey="{9E5EE383-1E3B-440A-9733-7FFDA59C5A9C}"/>
    <w:embedBoldItalic r:id="rId4" w:fontKey="{A5820805-B968-4297-90A5-8289725B22AA}"/>
  </w:font>
  <w:font w:name="Raleway">
    <w:charset w:val="00"/>
    <w:family w:val="auto"/>
    <w:pitch w:val="variable"/>
    <w:sig w:usb0="A00002FF" w:usb1="5000205B" w:usb2="00000000" w:usb3="00000000" w:csb0="00000197" w:csb1="00000000"/>
    <w:embedRegular r:id="rId5" w:fontKey="{79B4635F-76FF-497A-B61A-D14EDAA061A3}"/>
    <w:embedBold r:id="rId6" w:fontKey="{302DBC63-71BA-4A5B-8600-14916EB90D0E}"/>
    <w:embedItalic r:id="rId7" w:fontKey="{707DEE9E-A102-43C7-9771-0F89EBC63538}"/>
    <w:embedBoldItalic r:id="rId8" w:fontKey="{98497220-42C2-4291-ABA0-848A9BAB734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8B008524-3B2F-47A9-A9B8-B89A4C86D440}"/>
  </w:font>
  <w:font w:name="Roboto Black">
    <w:charset w:val="00"/>
    <w:family w:val="auto"/>
    <w:pitch w:val="variable"/>
    <w:sig w:usb0="E0000AFF" w:usb1="5000217F" w:usb2="00000021" w:usb3="00000000" w:csb0="0000019F" w:csb1="00000000"/>
    <w:embedRegular r:id="rId10" w:fontKey="{897A4EF3-ABB1-4B1A-87AC-459ACED1960A}"/>
    <w:embedBold r:id="rId11" w:fontKey="{0D7D0293-208E-41B4-92C7-89AA2FAE66AB}"/>
    <w:embedItalic r:id="rId12" w:fontKey="{FE664B89-B232-462E-B8FE-B4424BC99D75}"/>
    <w:embedBoldItalic r:id="rId13" w:fontKey="{087BD0E1-F436-4848-A9D1-A5552B5B9223}"/>
  </w:font>
  <w:font w:name="Gotham Light">
    <w:charset w:val="00"/>
    <w:family w:val="auto"/>
    <w:pitch w:val="variable"/>
    <w:sig w:usb0="A100007F" w:usb1="4000005B" w:usb2="00000000" w:usb3="00000000" w:csb0="0000009B" w:csb1="00000000"/>
  </w:font>
  <w:font w:name="Antonio">
    <w:altName w:val="Calibri"/>
    <w:charset w:val="00"/>
    <w:family w:val="auto"/>
    <w:pitch w:val="variable"/>
    <w:sig w:usb0="A00000EF" w:usb1="5000204B" w:usb2="00000000" w:usb3="00000000" w:csb0="00000093" w:csb1="00000000"/>
  </w:font>
  <w:font w:name="Roboto (Body)">
    <w:altName w:val="Arial"/>
    <w:charset w:val="00"/>
    <w:family w:val="auto"/>
    <w:pitch w:val="variable"/>
    <w:sig w:usb0="E00002FF" w:usb1="5000205B" w:usb2="00000020" w:usb3="00000000" w:csb0="0000019F" w:csb1="00000000"/>
  </w:font>
  <w:font w:name="Raleway ExtraBold">
    <w:charset w:val="4D"/>
    <w:family w:val="auto"/>
    <w:pitch w:val="variable"/>
    <w:sig w:usb0="A00002FF" w:usb1="5000205B" w:usb2="00000000" w:usb3="00000000" w:csb0="00000197" w:csb1="00000000"/>
    <w:embedRegular r:id="rId14" w:fontKey="{76F0BAB1-507A-443F-8782-4DBDCF3151E4}"/>
  </w:font>
  <w:font w:name="Raleway Medium">
    <w:charset w:val="4D"/>
    <w:family w:val="auto"/>
    <w:pitch w:val="variable"/>
    <w:sig w:usb0="A00002FF" w:usb1="5000205B" w:usb2="00000000" w:usb3="00000000" w:csb0="00000197" w:csb1="00000000"/>
    <w:embedRegular r:id="rId15" w:fontKey="{6FB46CD5-0B4A-4CA5-8B8A-8C70D068ED5B}"/>
  </w:font>
  <w:font w:name="Tahoma">
    <w:panose1 w:val="020B0604030504040204"/>
    <w:charset w:val="00"/>
    <w:family w:val="swiss"/>
    <w:pitch w:val="variable"/>
    <w:sig w:usb0="E1002EFF" w:usb1="C000605B" w:usb2="00000029" w:usb3="00000000" w:csb0="000101FF" w:csb1="00000000"/>
    <w:embedRegular r:id="rId16" w:fontKey="{AA6C12E2-3B9A-4323-8873-CE2EAC049AE3}"/>
    <w:embedBold r:id="rId17" w:fontKey="{5C2C3053-14D3-4C14-BA1C-5E4D03B54EC8}"/>
  </w:font>
  <w:font w:name="Amasis MT Pro Medium">
    <w:charset w:val="00"/>
    <w:family w:val="roman"/>
    <w:pitch w:val="variable"/>
    <w:sig w:usb0="A00000AF" w:usb1="4000205B" w:usb2="00000000" w:usb3="00000000" w:csb0="00000093" w:csb1="00000000"/>
    <w:embedRegular r:id="rId18" w:fontKey="{9FEFAA1A-C0BC-421D-9DF9-B96C5CFD5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C6A5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2/O1xAEAAM8DAAAOAAAAZHJzL2Uyb0RvYy54bWysU01v2zAMvQ/YfxB0X+wkW7EZcXpI0V2K Lli73VWZigXoC5QWO/9+lJx4xTYMaLGLIIp8j3zP9OZ6tIYdAaP2ruXLRc0ZOOk77Q4t//Z4++4j ZzEJ1wnjHbT8BJFfb9++2QyhgZXvvekAGZG42Ayh5X1KoamqKHuwIi58AEdJ5dGKRCEeqg7FQOzW VKu6vqoGj11ALyFGer2Zknxb+JUCmb4oFSEx03KaLZUTy/mUz2q7Ec0BRei1PI8hXjGFFdpR05nq RiTBfqD+g8pqiT56lRbS28orpSUUDaRmWf+m5qEXAYoWMieG2ab4/2jl/XGPTHctX685c8LSN3pI KPShT2znnSMHPTJKklNDiA0Bdm6P5yiGPWbZo0LLlNHhOy1BMYKksbH4fJp9hjExSY9XHz69X62X nMlLrpooMlXAmD6DtyxfWm60yxaIRhzvYqK2VHopoSCPNA1RbulkIBcb9xUUyaJm0zhloWBnkB0F rYKQElxaZlHEV6ozTGljZmBd2v4TeK7PUCjL9hLwjCidvUsz2Grn8W/d03gZWU31Fwcm3dmCJ9+d yucp1tDWFIXnDc9r+Twu8F//4fYnAAAA//8DAFBLAwQUAAYACAAAACEAeaDdsuIAAAAOAQAADwAA AGRycy9kb3ducmV2LnhtbEyPT0/DMAzF70h8h8hIXNCWMgSMrumE+HcYpw2Q4OY2pq3WOFWTdeXb z5OQ4GLZfvLz+2XL0bVqoD40ng1cThNQxKW3DVcG3t+eJ3NQISJbbD2TgR8KsMxPTzJMrd/zmoZN rJSYcEjRQB1jl2odypochqnviEX79r3DKGNfadvjXsxdq2dJcqMdNiwfauzooaZyu9k5A1/Bh6eP VTG8bNerES9e4+yztMacn42PCyn3C1CRxvh3AUcGyQ+5BCv8jm1QrQGhiQYmd7fSHOXkan4Nqvhd 6TzT/zHyAwAAAP//AwBQSwECLQAUAAYACAAAACEAtoM4kv4AAADhAQAAEwAAAAAAAAAAAAAAAAAA AAAAW0NvbnRlbnRfVHlwZXNdLnhtbFBLAQItABQABgAIAAAAIQA4/SH/1gAAAJQBAAALAAAAAAAA AAAAAAAAAC8BAABfcmVscy8ucmVsc1BLAQItABQABgAIAAAAIQCj2/O1xAEAAM8DAAAOAAAAAAAA AAAAAAAAAC4CAABkcnMvZTJvRG9jLnhtbFBLAQItABQABgAIAAAAIQB5oN2y4gAAAA4BAAAPAAAA AAAAAAAAAAAAAB4EAABkcnMvZG93bnJldi54bWxQSwUGAAAAAAQABADzAAAALQUAAAAA ">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3E18B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DF604B">
                            <w:rPr>
                              <w:rFonts w:asciiTheme="minorHAnsi" w:hAnsiTheme="minorHAnsi"/>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2"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3E18B5">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DF604B">
                      <w:rPr>
                        <w:rFonts w:asciiTheme="minorHAnsi" w:hAnsiTheme="minorHAnsi"/>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14AD47C1" w14:textId="77777777" w:rsidR="00D46AB5" w:rsidRPr="00E530A6" w:rsidRDefault="00D46AB5" w:rsidP="00D135CD">
        <w:pPr>
          <w:pStyle w:val="Footer"/>
          <w:framePr w:h="779" w:hRule="exact" w:wrap="none" w:vAnchor="text" w:hAnchor="page" w:x="11146" w:y="108"/>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Pr>
            <w:rStyle w:val="PageNumber"/>
            <w:b/>
            <w:bCs/>
            <w:sz w:val="16"/>
            <w:szCs w:val="16"/>
          </w:rPr>
          <w:t>3</w:t>
        </w:r>
        <w:r w:rsidRPr="00E530A6">
          <w:rPr>
            <w:rStyle w:val="PageNumber"/>
            <w:b/>
            <w:bCs/>
            <w:sz w:val="16"/>
            <w:szCs w:val="16"/>
          </w:rPr>
          <w:fldChar w:fldCharType="end"/>
        </w:r>
      </w:p>
    </w:sdtContent>
  </w:sdt>
  <w:p w14:paraId="6ADC6868" w14:textId="06E525ED" w:rsidR="00205953" w:rsidRPr="0067118D" w:rsidRDefault="00D46AB5" w:rsidP="0067118D">
    <w:pPr>
      <w:pStyle w:val="Disclaimer"/>
    </w:pPr>
    <w:r w:rsidRPr="00C94D71">
      <mc:AlternateContent>
        <mc:Choice Requires="wps">
          <w:drawing>
            <wp:anchor distT="0" distB="0" distL="114300" distR="114300" simplePos="0" relativeHeight="251658246" behindDoc="0" locked="0" layoutInCell="1" allowOverlap="1" wp14:anchorId="1646666A" wp14:editId="56550422">
              <wp:simplePos x="0" y="0"/>
              <wp:positionH relativeFrom="margin">
                <wp:posOffset>0</wp:posOffset>
              </wp:positionH>
              <wp:positionV relativeFrom="paragraph">
                <wp:posOffset>-50585</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31" style="position:absolute;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fcd00 [3204]" strokeweight="3pt" from="0,-4pt" to="510.5pt,-4pt" w14:anchorId="793BC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kZ5rgEAAK8DAAAOAAAAZHJzL2Uyb0RvYy54bWysU01v2zAMvQ/YfxB0X+Q0WxEYcXpo0V2G rdjXXZWpWIC+QGmx8+9HyYlbbMOADb0Issj3+B5J724mZ9kRMJngO75eNZyBV6E3/tDxb1/v32w5 S1n6XtrgoeMnSPxm//rVbowtXIUh2B6QEYlP7Rg7PuQcWyGSGsDJtAoRPAV1QCczfeJB9ChHYndW XDXNtRgD9hGDgpTo9W4O8n3l1xpU/qR1gsxsx0lbrifW87GcYr+T7QFlHIw6y5D/ocJJ46noQnUn s2Q/0PxG5YzCkILOKxWcCFobBdUDuVk3v7j5MsgI1Qs1J8WlTenlaNXH461/QGrDGFOb4gMWF5NG x7Q18TvNtPoipWyqbTstbYMpM0WP12+3m8076q66xMRMUagipvwegmPl0nFrfHEkW3n8kDKVpdRL Snm2no0d32zXTZ2NeFJVb/lkYU77DJqZnqrP+urCwK1FdpQ0aqkU+Lwu46UC1lN2gWlj7QJsqo6/ As/5BQp1mf4FvCBq5eDzAnbGB/xT9TxdJOs5n+Q/812uj6E/1XnVAG1FdXje4LJ2z78r/Ok/2/8E AAD//wMAUEsDBBQABgAIAAAAIQCByOtf2gAAAAwBAAAPAAAAZHJzL2Rvd25yZXYueG1sTE9LTsMw EN0j9Q7WVGLXOo0EqtI4FaUCsW3gAE48TaLG48h2G3N7pmIBm/k9zfuU+2RHcUMfBkcKNusMBFLr zECdgq/Pt9UWRIiajB4doYJvDLCvFg+lLoyb6YS3OnaCSSgUWkEf41RIGdoerQ5rNyExdnbe6sir 76TxemZyO8o8y56l1QOxQq8nfO2xvdRXq+ByaEPT1ueUPvLZm6f3kzkeklKPy3TccXnZgYiY4t8H 3DOwf6jYWOOuZIIYFXCaqGC15X5Hs3zDU/N7kVUp/4eofgAAAP//AwBQSwECLQAUAAYACAAAACEA toM4kv4AAADhAQAAEwAAAAAAAAAAAAAAAAAAAAAAW0NvbnRlbnRfVHlwZXNdLnhtbFBLAQItABQA BgAIAAAAIQA4/SH/1gAAAJQBAAALAAAAAAAAAAAAAAAAAC8BAABfcmVscy8ucmVsc1BLAQItABQA BgAIAAAAIQAcKkZ5rgEAAK8DAAAOAAAAAAAAAAAAAAAAAC4CAABkcnMvZTJvRG9jLnhtbFBLAQIt ABQABgAIAAAAIQCByOtf2gAAAAwBAAAPAAAAAAAAAAAAAAAAAAgEAABkcnMvZG93bnJldi54bWxQ SwUGAAAAAAQABADzAAAADwUAAAAA ">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A30D" w14:textId="77777777" w:rsidR="0094369E" w:rsidRDefault="0094369E" w:rsidP="00782F2B">
      <w:r>
        <w:separator/>
      </w:r>
    </w:p>
  </w:footnote>
  <w:footnote w:type="continuationSeparator" w:id="0">
    <w:p w14:paraId="519605B9" w14:textId="77777777" w:rsidR="0094369E" w:rsidRDefault="0094369E" w:rsidP="00782F2B">
      <w:r>
        <w:continuationSeparator/>
      </w:r>
    </w:p>
  </w:footnote>
  <w:footnote w:type="continuationNotice" w:id="1">
    <w:p w14:paraId="09191D8B" w14:textId="77777777" w:rsidR="0094369E" w:rsidRDefault="009436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F94B1B6">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8"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30"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31"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57824DC5" w:rsidR="00205953" w:rsidRPr="00CF7E7F" w:rsidRDefault="00205953" w:rsidP="00ED657D">
    <w:pPr>
      <w:pStyle w:val="UnitName"/>
      <w:spacing w:line="240" w:lineRule="auto"/>
      <w:rPr>
        <w:rFonts w:ascii="Times New Roman" w:hAnsi="Times New Roman"/>
        <w:sz w:val="22"/>
        <w:szCs w:val="22"/>
      </w:rPr>
    </w:pPr>
    <w:r w:rsidRPr="00342344">
      <w:rPr>
        <w:rFonts w:ascii="Times New Roman" w:hAnsi="Times New Roman"/>
        <w:noProof/>
        <w:color w:val="A6A6A6" w:themeColor="background1" w:themeShade="A6"/>
        <w:sz w:val="22"/>
        <w:szCs w:val="22"/>
      </w:rPr>
      <mc:AlternateContent>
        <mc:Choice Requires="wpg">
          <w:drawing>
            <wp:anchor distT="0" distB="0" distL="114300" distR="114300" simplePos="0" relativeHeight="251658243"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1654317650"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aphic 1" style="position:absolute;margin-left:.6pt;margin-top:39.4pt;width:105.85pt;height:31.15pt;z-index:-251608064;mso-position-horizontal-relative:margin;mso-position-vertical-relative:page;mso-width-relative:margin;mso-height-relative:margin" alt="The University of Iowa" coordsize="10668,3143" coordorigin="6404,4589" o:spid="_x0000_s1026" w14:anchorId="4795DB9B"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AsRSFQsAAP1IAAAOAAAAZHJzL2Uyb0RvYy54bWzsXN+P2zYSfj/g/gdBjwdcLOq3jGyKXNIN CgRtgKTo5VEry2sDtuSTtOtN//oOh6I0tL3iaHMtDge/rCxrhkMOZ8j5PnH9+oen/c55LJt2W1c3 rnjluU5ZFfVqW93fuL9+uf1n6jptl1erfFdX5Y37rWzdH978/W+vj4dl6debercqGwcaqdrl8XDj brrusFws2mJT7vP2VX0oK3i4rpt93sFtc79YNfkRWt/vFr7nxYtj3awOTV2UbQvfvlcP3TfY/npd Ft0v63Vbds7uxoW+dfi3wb938u/izet8ed/kh8226LuRv6AX+3xbgdGhqfd5lzsPzfasqf22aOq2 Xnevinq/qNfrbVHiGGA0wjsZzYemfjjgWO6Xx/vD4CZw7YmfXtxs8fPjp8bZrm5c33WqfA9T9KH3 hnCdVdkW4Kwvm9L5tdriNHffnHrt/FQfc+m74+F+CU18aA6fD5+a/ot7dSfd8bRu9vIKA3We0Ovf Bq+XT51TwJciCEM/i1yngGdBFsVepKal2MDcSbU49MIgdh14HkZplmT6+Y+6CS+OUw/mF5sQYeBj EwvdgYXs59Ct4Wbof++C4NwF88f4TGeH0Rpd9ULZbQzCl452aGIYbb5s6912dbvd7aTv2+b+7t2u cR5zyIHbH9/HyiKIE7FTD0E2tmPAtd8XcJ83+aHEOG5ltPTeDrW3b5uylBm+dFDQCaVDjgeUHcKq XbYQYRdiyubvIAgiHRmXfFU8tN2HssYwzR8/th3Oxv0KPklr96s+LYq6qtptV/4bGlvvd7BK/GPh iCCJg9g5wgc00+ueqHylKnGYJJ6zcYKhM5eMQPKNRoQfpXYjVIVnBFJ+rhGq4odhmqbWoUBWjVZ4 /qIqTCsQTXOtUJVAeLAOWccCq9RgxbNOO5VmGoBVboYBKs30U0IM+JEXCesoDA3elMOmP4yCZ4Rq 8II3IzbsU0Glee0LmrR2Ayfi1vym2cpcRQTVYSwhNFe5JqjOuZ9gzxgWxnyj18riqeoXS/jk5LLy 87AYOtSt3L7pyglbuL6FVRGWS2gStORKa1GGwVNlMUsZhkWV/VnKsBpR5WCWMiwyVBn3NvaYYQGh yrqo4TlMFUyDt+NZ3Yakp5aTWcqQzFQ5naUMmUqVsdZjO0xmIdWG+1kxdhpk86JMnIQZ3BPrahB9 pjSATCQm2SEm6VwHyuzGdQCT3EmdfHnIO5lg+qNzlIWyKmU2UCar4kE+3deP5Zca5TqZbSrT0Q2Y wH0XRrFdZYhjcXEmroX09aDaHoXVdtM3rqX0tZfGzR6bniet9srJttU8swUZ9nGf4nZ2FKY+1sPX V+UG1VWunA5Y3Ya+nrmULXjJcrGr21LFpgw0XIaHiJOBSopighKYYCJf7ioZsFkEOMwpcsD1613e 4Z5Q1RKXqBBv2u593m4UMkEzKvb3UGY3qnc72BoAm+jqX366q1ffAEI0tQLz7aG43UJLH/O2+5Q3 UJeDwwGqdr/An/Wuhn5AhuAn19nUze+XvpfygHHgqescAf/euO1/HvKmdJ3dTxWgn0yEITTb4U0Y JT7cNPTJHX1SPezf1ZDcsJpA7/CjlO92+uO6qfe/AXHxVlqFR3lVgG3YGjtYA9TNuw7u4REAo6J8 +xY/A2UAk/Sx+nwoZOOY8zDyL0+/5c3BOcDHG7cDoPlzrRFXvtSQBiZVCihZqVnVbx+6er2VeAc9 rPza3wD6UxjsT4eBECGKdziFgbjbsWFg6gHMU5st5Qg07PZF5iUyGGF3GJEXOEUzFDTitc9ItWOB gVEWBxlU0r0ZDO8zFQMGwtLl+5kVcNCSL8oy4VuNUA2mEdi2hnJdVrrTo6DSfpjEkb0UpXjOboBK x36U2L1EkRzPS1TD3n8InMFBgjfXVMVuwAByIosQlk1PA1XheckAcjwjhgpvrimSY/qKqjBDluI5 EcDqHFnjlqpAPZClgT375AI8cj0sMwYQxL3XbobmbJoKT5I907NvYEGmFZq4TCtURdVQ9sHQ9GVO jaA6F+zAOn3FnVfcaaMIrrgTGeqvJu60MyuQfQZoNiJNooGB4HkJbO0XMscCW3FbxY6oLaCHf8/h Vtzmz8U1XCoe7rbFv8rfKdT1g0QoXmO0AFUxIltY6MEFfhpHynkn3+PW1/fIbFobpM3gdtxL6+em FpX2Qy9DikTbVF/I/iDG01+PI9bQz2xTW+qR4uhPLa4FTLVePIvSQJXPhlGYPChGlHPO+jk+oyM2 m9dGlRmjOVk6MrwEOmGkyCyYHw9eBCr0qBiJLAoilffnk6rKj/MgMXuosfAlKkXu+P3gZcHQ9/a5 mFS7HcpfAt2mK3AHni3LIDJILy5K6/FKRHjF/ooruGJ/yan85dgfsvoy9sccZ2N/4YUeHAbBZLoE /mHhiv488I/7GxTsvRUG9mfW6wR7SNA83T6FELz2aW1vb9+Utr3eovW8AL4lk7zF9ACoih0wU/zO NEBVeB6iGB5AGbwhto6CqvCMUBwv/DTIEqsRquILiP3EisookBdJmKSh1QpVsU8IxfBYwNhnnKrY DRjwPYPZSK0jMFREKHzf6icDvQdeGgpJ601HrqHDm3QDvvtpFEeSv7CYmZ/i8oXUwF9wzVAd+7QY 0D2EeimwJ4mhwzBBM5drguow54TmbpAFnmcPYUF1mGZo9gYRjMe++ApDh3dURdD89cM0Y6S8oQP1 NOdIjKBp7HtpgBy1JZSpjvCTILRzvIJms4jjBPg7a8pQHeZ45KudIWdieNVjjwJDhWuGZjOvhPCp ynmwXUmyrvyqIRrviAQsEpT4uB7OsDFskE/UYf8/hzO+kySzq5+EmpgXa3KfoY6He/naFs3Kl7m2 s1Owfxjq8w4DyW3BUJ93HEjuEIb6vANBcuE31OdFnVycqTrcz3GdXHQNdeNI0HeTo/0+aSFHcX/A fuCyb6Gh1ICppGae9JXSj9od+pm+9rwggjc0zRa0W1Zg6mxA2rS+9l1AUITCCuz0w9dS+tpLI7hh dFiBFI4ggg1tH0DEpH2FGVDa7gdVks8Xnp4KVSIzRkYE7X1VFTGzr6quRWFVD036TFWnbGmsMVFa lY6TbatKkds21ntc4ctZqcPxSrOaR6+uR6z00bW/nGaF7fsyzYr7OJ9mDQORJOpl4SWa1U9iHw/8 wX753z9jheeGlAUGxQpvPlgHPAjWw9eDACn7YTxjhGIwphFKqCRenOBRlcmRUA07P0KZU1+IELmk 6VFQFbsByqXI81iBpCinDRgqvLmgVIqfAF0hKcppK4YKzwplUphWqArsZpxje5R7GejW6bFQFaYV g0WJwyyRjMi0FariB2GcxVZKlHIoQvhxKv9laNoKVWFaMUhU4cF/cNrNGDpMnxnMq31NMcS5Jsz0 tTnLJGl5UWwwqOMpu8lFxdRJksy3vzYAmDqSYQL+OTdkzArViSBQGNweTWQh0iy2rzAG9Qr7Ems4 NJW5bjN0zu1cabcr7cagYE44kHkUyAkDMo8AkaskZTDgfg4BIldAQ90gQOzUEyyGhrqGzzyGVi5a hvo8gleuX4b6/xDt9t3cUb8HW7gjNfuqVO0n/rnzS+MBOUNcI1p9VUQLVrLoXR1P+rm+KjlVkXIE sbJEQYZ5Vbu9QFpt4tOcwcghcaSx8lI9wYpqum2soNjSWAihNKMnaqrZghe9rGmLC6fhxhOFaru1 RJMqF7DvWAVY3CI3fRQ2GtexpK89yfdMV7SUHgSk2PWI2/F6xG38t0HKvYy/eYLf4m/s4EuV/veA 5I/40HuUGn+16M0fAAAA//8DAFBLAwQUAAYACAAAACEAX1HdRuEAAAANAQAADwAAAGRycy9kb3du cmV2LnhtbExPyU7DMBC9I/EP1iBxo47DVtI4VVWWU4VEi4S4TeNpEjW2o9hN0r9nOMFlpDdv5i35 crKtGKgPjXca1CwBQa70pnGVhs/d680cRIjoDLbekYYzBVgWlxc5ZsaP7oOGbawEi7iQoYY6xi6T MpQ1WQwz35Fj7uB7i5FhX0nT48jitpVpkjxIi41jhxo7WtdUHrcnq+FtxHF1q16GzfGwPn/v7t+/ Noq0vr6anhc8VgsQkab49wG/HTg/FBxs70/OBNEyTvlQw+OcWzCdqvQJxJ73d0qBLHL5v0XxAwAA //8DAFBLAQItABQABgAIAAAAIQC2gziS/gAAAOEBAAATAAAAAAAAAAAAAAAAAAAAAABbQ29udGVu dF9UeXBlc10ueG1sUEsBAi0AFAAGAAgAAAAhADj9If/WAAAAlAEAAAsAAAAAAAAAAAAAAAAALwEA AF9yZWxzLy5yZWxzUEsBAi0AFAAGAAgAAAAhAEcCxFIVCwAA/UgAAA4AAAAAAAAAAAAAAAAALgIA AGRycy9lMm9Eb2MueG1sUEsBAi0AFAAGAAgAAAAhAF9R3UbhAAAADQEAAA8AAAAAAAAAAAAAAAAA bw0AAGRycy9kb3ducmV2LnhtbFBLBQYAAAAABAAEAPMAAAB9DgAAAAA= ">
              <v:group id="_x0000_s1027" style="position:absolute;left:6404;top:4589;width:10668;height:3048" coordsize="10668,3048" coordorigin="6404,45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BsOJyAAAAN8AAAAPAAAAZHJzL2Rvd25yZXYueG1sRI9Pa8JA FMTvBb/D8gre6iaVlhJdJWiVHkKhWii9PbLPJCT7NmTX/Pn2rlDoZWAY5jfMejuaRvTUucqygngR gSDOra64UPB9Pjy9gXAeWWNjmRRM5GC7mT2sMdF24C/qT74QAcIuQQWl920ipctLMugWtiUO2cV2 Bn2wXSF1h0OAm0Y+R9GrNFhxWCixpV1JeX26GgXHAYd0Gb/3WX3ZTb/nl8+fLCal5o/jfhUkXYHw NPr/xh/iQytYwv1P+AJycwMAAP//AwBQSwECLQAUAAYACAAAACEA2+H2y+4AAACFAQAAEwAAAAAA AAAAAAAAAAAAAAAAW0NvbnRlbnRfVHlwZXNdLnhtbFBLAQItABQABgAIAAAAIQBa9CxbvwAAABUB AAALAAAAAAAAAAAAAAAAAB8BAABfcmVscy8ucmVsc1BLAQItABQABgAIAAAAIQABBsOJyAAAAN8A AAAPAAAAAAAAAAAAAAAAAAcCAABkcnMvZG93bnJldi54bWxQSwUGAAAAAAMAAwC3AAAA/AIAAAAA ">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rYZ6xwAAAN8AAAAPAAAAZHJzL2Rvd25yZXYueG1sRI9Ba8JA FITvhf6H5RW81d2KhJK4StEI8Wa1h+b2yL4msdm3Ibua9N93hUIvA8Mw3zCrzWQ7caPBt441vMwV COLKmZZrDR/n/fMrCB+QDXaOScMPedisHx9WmBo38jvdTqEWEcI+RQ1NCH0qpa8asujnrieO2Zcb LIZoh1qaAccIt51cKJVIiy3HhQZ72jZUfZ+uVsNnfikPhe8ualeXvqiO+TZRudazp2mXRXnLQASa wn/jD1EYDUu4/4lfQK5/AQAA//8DAFBLAQItABQABgAIAAAAIQDb4fbL7gAAAIUBAAATAAAAAAAA AAAAAAAAAAAAAABbQ29udGVudF9UeXBlc10ueG1sUEsBAi0AFAAGAAgAAAAhAFr0LFu/AAAAFQEA AAsAAAAAAAAAAAAAAAAAHwEAAF9yZWxzLy5yZWxzUEsBAi0AFAAGAAgAAAAhAJCthnrHAAAA3wAA AA8AAAAAAAAAAAAAAAAABwIAAGRycy9kb3ducmV2LnhtbFBLBQYAAAAAAwADALcAAAD7AgAAAAA= ">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rvfxwAAAN8AAAAPAAAAZHJzL2Rvd25yZXYueG1sRI9Ba8JA FITvBf/D8gRvdVPBUhJXkYpQlBQ0OfT4yL4m0ezbkN2axF/fLRS8DAzDfMOsNoNpxI06V1tW8DKP QBAXVtdcKsiz/fMbCOeRNTaWScFIDjbrydMKY217PtHt7EsRIOxiVFB538ZSuqIig25uW+KQfdvO oA+2K6XusA9w08hFFL1KgzWHhQpbeq+ouJ5/jIJ09/mVjZnuSd7T/HTQeL0cD0rNpsMuCbJNQHga /KPxj/jQCpbw9yd8Abn+BQAA//8DAFBLAQItABQABgAIAAAAIQDb4fbL7gAAAIUBAAATAAAAAAAA AAAAAAAAAAAAAABbQ29udGVudF9UeXBlc10ueG1sUEsBAi0AFAAGAAgAAAAhAFr0LFu/AAAAFQEA AAsAAAAAAAAAAAAAAAAAHwEAAF9yZWxzLy5yZWxzUEsBAi0AFAAGAAgAAAAhAA5eu9/HAAAA3wAA AA8AAAAAAAAAAAAAAAAABwIAAGRycy9kb3ducmV2LnhtbFBLBQYAAAAAAwADALcAAAD7AgAAAAA= ">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t9ODyAAAAN8AAAAPAAAAZHJzL2Rvd25yZXYueG1sRI9BawIx FITvhf6H8Aq91aQeFlmNIlqhpQfttojH5+a5u7h52W7SuP33jVDwMjAM8w0zWwy2FZF63zjW8DxS IIhLZxquNHx9bp4mIHxANtg6Jg2/5GExv7+bYW7chT8oFqESCcI+Rw11CF0upS9rsuhHriNO2cn1 FkOyfSVNj5cEt60cK5VJiw2nhRo7WtVUnosfq0HJ+LI5vC13WSyKo/qO++35faz148OwniZZTkEE GsKt8Y94NRoyuP5JX0DO/wAAAP//AwBQSwECLQAUAAYACAAAACEA2+H2y+4AAACFAQAAEwAAAAAA AAAAAAAAAAAAAAAAW0NvbnRlbnRfVHlwZXNdLnhtbFBLAQItABQABgAIAAAAIQBa9CxbvwAAABUB AAALAAAAAAAAAAAAAAAAAB8BAABfcmVscy8ucmVsc1BLAQItABQABgAIAAAAIQB0t9ODyAAAAN8A AAAPAAAAAAAAAAAAAAAAAAcCAABkcnMvZG93bnJldi54bWxQSwUGAAAAAAMAAwC3AAAA/AIAAAAA ">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DIiExgAAAN8AAAAPAAAAZHJzL2Rvd25yZXYueG1sRI9Ba8JA FITvBf/D8oTemo0W2yS6ihgL9qgt9PrYfU1Cs29DdhPjv+8KhV4GhmG+YTa7ybZipN43jhUskhQE sXam4UrB58fbUwbCB2SDrWNScCMPu+3sYYOFcVc+03gJlYgQ9gUqqEPoCim9rsmiT1xHHLNv11sM 0faVND1eI9y2cpmmL9Jiw3Ghxo4ONemfy2AVrJwu8+dz9iWX4/ugD9kx96dUqcf5VK6j7NcgAk3h v/GHOBkFr3D/E7+A3P4CAAD//wMAUEsBAi0AFAAGAAgAAAAhANvh9svuAAAAhQEAABMAAAAAAAAA AAAAAAAAAAAAAFtDb250ZW50X1R5cGVzXS54bWxQSwECLQAUAAYACAAAACEAWvQsW78AAAAVAQAA CwAAAAAAAAAAAAAAAAAfAQAAX3JlbHMvLnJlbHNQSwECLQAUAAYACAAAACEAtgyIhMYAAADfAAAA DwAAAAAAAAAAAAAAAAAHAgAAZHJzL2Rvd25yZXYueG1sUEsFBgAAAAADAAMAtwAAAPoCAAAAAA== ">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42344" w:rsidRPr="00CF7E7F">
      <w:rPr>
        <w:rFonts w:ascii="Times New Roman" w:hAnsi="Times New Roman"/>
        <w:sz w:val="22"/>
        <w:szCs w:val="22"/>
      </w:rPr>
      <w:t>Un</w:t>
    </w:r>
    <w:r w:rsidR="00C1719B" w:rsidRPr="00CF7E7F">
      <w:rPr>
        <w:rFonts w:ascii="Times New Roman" w:hAnsi="Times New Roman"/>
        <w:sz w:val="22"/>
        <w:szCs w:val="22"/>
      </w:rPr>
      <w:t xml:space="preserve">iversity of Iowa School of </w:t>
    </w:r>
    <w:r w:rsidR="008C30FB" w:rsidRPr="00CF7E7F">
      <w:rPr>
        <w:rFonts w:ascii="Times New Roman" w:hAnsi="Times New Roman"/>
        <w:sz w:val="22"/>
        <w:szCs w:val="22"/>
      </w:rPr>
      <w:t>Social Work</w:t>
    </w:r>
  </w:p>
  <w:p w14:paraId="13362294" w14:textId="59B3DD63" w:rsidR="008C30FB" w:rsidRPr="00CF7E7F" w:rsidRDefault="008C30FB" w:rsidP="00ED657D">
    <w:pPr>
      <w:pStyle w:val="UnitName"/>
      <w:spacing w:line="240" w:lineRule="auto"/>
      <w:rPr>
        <w:rFonts w:ascii="Times New Roman" w:hAnsi="Times New Roman"/>
        <w:sz w:val="22"/>
        <w:szCs w:val="22"/>
      </w:rPr>
    </w:pPr>
    <w:r w:rsidRPr="00CF7E7F">
      <w:rPr>
        <w:rFonts w:ascii="Times New Roman" w:hAnsi="Times New Roman"/>
        <w:sz w:val="22"/>
        <w:szCs w:val="22"/>
      </w:rPr>
      <w:t>National Resource Center for Family Centered Practice</w:t>
    </w:r>
    <w:r w:rsidR="00087877" w:rsidRPr="00CF7E7F">
      <w:rPr>
        <w:rFonts w:ascii="Times New Roman" w:hAnsi="Times New Roman"/>
        <w:sz w:val="22"/>
        <w:szCs w:val="22"/>
      </w:rPr>
      <w:t xml:space="preserve"> </w:t>
    </w:r>
  </w:p>
  <w:p w14:paraId="2B1A2E12" w14:textId="590DB47F" w:rsidR="00087877" w:rsidRPr="00CF7E7F" w:rsidRDefault="00087877" w:rsidP="00ED657D">
    <w:pPr>
      <w:pStyle w:val="UnitName"/>
      <w:spacing w:line="240" w:lineRule="auto"/>
      <w:rPr>
        <w:rFonts w:ascii="Times New Roman" w:hAnsi="Times New Roman"/>
        <w:sz w:val="22"/>
        <w:szCs w:val="22"/>
      </w:rPr>
    </w:pPr>
    <w:r w:rsidRPr="00CF7E7F">
      <w:rPr>
        <w:rFonts w:ascii="Times New Roman" w:hAnsi="Times New Roman"/>
        <w:sz w:val="22"/>
        <w:szCs w:val="22"/>
      </w:rPr>
      <w:t>Consortium for Substance Abuse Research and Evaluation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B028" w14:textId="62108639" w:rsidR="00205953" w:rsidRDefault="00C1719B">
    <w:pPr>
      <w:spacing w:before="0" w:after="0" w:line="240" w:lineRule="auto"/>
    </w:pPr>
    <w:r>
      <w:rPr>
        <w:noProof/>
      </w:rPr>
      <mc:AlternateContent>
        <mc:Choice Requires="wps">
          <w:drawing>
            <wp:anchor distT="0" distB="0" distL="114300" distR="114300" simplePos="0" relativeHeight="251658244" behindDoc="1" locked="0" layoutInCell="1" allowOverlap="1" wp14:anchorId="171CF557" wp14:editId="2EFA226F">
              <wp:simplePos x="0" y="0"/>
              <wp:positionH relativeFrom="margin">
                <wp:posOffset>-308610</wp:posOffset>
              </wp:positionH>
              <wp:positionV relativeFrom="page">
                <wp:align>center</wp:align>
              </wp:positionV>
              <wp:extent cx="7040880" cy="9326880"/>
              <wp:effectExtent l="0" t="0" r="7620" b="7620"/>
              <wp:wrapNone/>
              <wp:docPr id="73" name="Rectangle 73"/>
              <wp:cNvGraphicFramePr/>
              <a:graphic xmlns:a="http://schemas.openxmlformats.org/drawingml/2006/main">
                <a:graphicData uri="http://schemas.microsoft.com/office/word/2010/wordprocessingShape">
                  <wps:wsp>
                    <wps:cNvSpPr/>
                    <wps:spPr>
                      <a:xfrm>
                        <a:off x="0" y="0"/>
                        <a:ext cx="7040880" cy="9326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0C658" id="Rectangle 73" o:spid="_x0000_s1026" style="position:absolute;margin-left:-24.3pt;margin-top:0;width:554.4pt;height:734.4pt;z-index:-251658236;visibility:visible;mso-wrap-style:square;mso-width-percent:0;mso-height-percent:0;mso-wrap-distance-left:9pt;mso-wrap-distance-top:0;mso-wrap-distance-right:9pt;mso-wrap-distance-bottom:0;mso-position-horizontal:absolute;mso-position-horizontal-relative:margin;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" fillcolor="#ffcd00 [3204]" stroked="f" strokeweight="1pt">
              <w10:wrap anchorx="margin" anchory="page"/>
            </v:rect>
          </w:pict>
        </mc:Fallback>
      </mc:AlternateContent>
    </w:r>
    <w:r w:rsidR="00E71FC3">
      <w:rPr>
        <w:noProof/>
      </w:rPr>
      <w:drawing>
        <wp:anchor distT="0" distB="0" distL="114300" distR="114300" simplePos="0" relativeHeight="251658245" behindDoc="0" locked="0" layoutInCell="1" allowOverlap="1" wp14:anchorId="67C61C1C" wp14:editId="79D56E5C">
          <wp:simplePos x="0" y="0"/>
          <wp:positionH relativeFrom="column">
            <wp:posOffset>186690</wp:posOffset>
          </wp:positionH>
          <wp:positionV relativeFrom="paragraph">
            <wp:posOffset>736307</wp:posOffset>
          </wp:positionV>
          <wp:extent cx="2202815" cy="641985"/>
          <wp:effectExtent l="0" t="0" r="0" b="5715"/>
          <wp:wrapThrough wrapText="bothSides">
            <wp:wrapPolygon edited="0">
              <wp:start x="0" y="0"/>
              <wp:lineTo x="0" y="21365"/>
              <wp:lineTo x="21419" y="21365"/>
              <wp:lineTo x="21419" y="16665"/>
              <wp:lineTo x="21046" y="13674"/>
              <wp:lineTo x="20299" y="0"/>
              <wp:lineTo x="0" y="0"/>
            </wp:wrapPolygon>
          </wp:wrapThrough>
          <wp:docPr id="498247153" name="Picture 498247153"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University of Iow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641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053AA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visibility:visible;mso-wrap-style:square" o:bullet="t">
        <v:imagedata r:id="rId1" o:title=""/>
      </v:shape>
    </w:pict>
  </w:numPicBullet>
  <w:numPicBullet w:numPicBulletId="1">
    <w:pict>
      <v:shape id="_x0000_i1026" type="#_x0000_t75" style="width:448.5pt;height:459pt;visibility:visible;mso-wrap-style:square" o:bullet="t">
        <v:imagedata r:id="rId2" o:title=""/>
      </v:shape>
    </w:pict>
  </w:numPicBullet>
  <w:numPicBullet w:numPicBulletId="2">
    <w:pict>
      <v:shape id="_x0000_i1027" type="#_x0000_t75" style="width:375pt;height:107.25pt;visibility:visible;mso-wrap-style:square" o:bullet="t">
        <v:imagedata r:id="rId3" o:title=""/>
      </v:shape>
    </w:pict>
  </w:numPicBullet>
  <w:numPicBullet w:numPicBulletId="3">
    <w:pict>
      <v:shape id="_x0000_i1028" type="#_x0000_t75" style="width:93.75pt;height:93.75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009"/>
    <w:multiLevelType w:val="multilevel"/>
    <w:tmpl w:val="6D92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0A35CA"/>
    <w:multiLevelType w:val="multilevel"/>
    <w:tmpl w:val="688E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4F71CC"/>
    <w:multiLevelType w:val="multilevel"/>
    <w:tmpl w:val="51465480"/>
    <w:numStyleLink w:val="WRPbulletlist"/>
  </w:abstractNum>
  <w:abstractNum w:abstractNumId="13" w15:restartNumberingAfterBreak="0">
    <w:nsid w:val="104C6B6E"/>
    <w:multiLevelType w:val="multilevel"/>
    <w:tmpl w:val="51465480"/>
    <w:numStyleLink w:val="WRPbulletlist"/>
  </w:abstractNum>
  <w:abstractNum w:abstractNumId="14" w15:restartNumberingAfterBreak="0">
    <w:nsid w:val="10C86C7F"/>
    <w:multiLevelType w:val="hybridMultilevel"/>
    <w:tmpl w:val="BCE2A8D0"/>
    <w:lvl w:ilvl="0" w:tplc="04090001">
      <w:start w:val="1"/>
      <w:numFmt w:val="bullet"/>
      <w:lvlText w:val=""/>
      <w:lvlJc w:val="left"/>
      <w:pPr>
        <w:ind w:left="720" w:hanging="360"/>
      </w:pPr>
      <w:rPr>
        <w:rFonts w:ascii="Symbol" w:hAnsi="Symbol" w:hint="default"/>
      </w:rPr>
    </w:lvl>
    <w:lvl w:ilvl="1" w:tplc="A8E00C1C">
      <w:numFmt w:val="bullet"/>
      <w:lvlText w:val="•"/>
      <w:lvlJc w:val="left"/>
      <w:pPr>
        <w:ind w:left="1440" w:hanging="360"/>
      </w:pPr>
      <w:rPr>
        <w:rFonts w:ascii="Roboto" w:eastAsia="Raleway" w:hAnsi="Robot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57307F"/>
    <w:multiLevelType w:val="hybridMultilevel"/>
    <w:tmpl w:val="53E2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87085F"/>
    <w:multiLevelType w:val="multilevel"/>
    <w:tmpl w:val="CF662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C210FE"/>
    <w:multiLevelType w:val="multilevel"/>
    <w:tmpl w:val="3086F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9" w15:restartNumberingAfterBreak="0">
    <w:nsid w:val="1E22415F"/>
    <w:multiLevelType w:val="multilevel"/>
    <w:tmpl w:val="5BE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AA4CD6"/>
    <w:multiLevelType w:val="hybridMultilevel"/>
    <w:tmpl w:val="79DA08DA"/>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C1D61"/>
    <w:multiLevelType w:val="multilevel"/>
    <w:tmpl w:val="7A6C1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E6263C"/>
    <w:multiLevelType w:val="hybridMultilevel"/>
    <w:tmpl w:val="0BC85CB0"/>
    <w:lvl w:ilvl="0" w:tplc="36247D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3398A"/>
    <w:multiLevelType w:val="multilevel"/>
    <w:tmpl w:val="51465480"/>
    <w:numStyleLink w:val="WRPbulletlist"/>
  </w:abstractNum>
  <w:abstractNum w:abstractNumId="25" w15:restartNumberingAfterBreak="0">
    <w:nsid w:val="289B6E5A"/>
    <w:multiLevelType w:val="multilevel"/>
    <w:tmpl w:val="51465480"/>
    <w:numStyleLink w:val="WRPbulletlist"/>
  </w:abstractNum>
  <w:abstractNum w:abstractNumId="26"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2F47D40"/>
    <w:multiLevelType w:val="multilevel"/>
    <w:tmpl w:val="B56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600B3"/>
    <w:multiLevelType w:val="multilevel"/>
    <w:tmpl w:val="51465480"/>
    <w:numStyleLink w:val="WRPbulletlist"/>
  </w:abstractNum>
  <w:abstractNum w:abstractNumId="29" w15:restartNumberingAfterBreak="0">
    <w:nsid w:val="354D7979"/>
    <w:multiLevelType w:val="singleLevel"/>
    <w:tmpl w:val="E0501410"/>
    <w:lvl w:ilvl="0">
      <w:start w:val="1"/>
      <w:numFmt w:val="bullet"/>
      <w:lvlText w:val=""/>
      <w:lvlJc w:val="left"/>
      <w:pPr>
        <w:ind w:left="360" w:hanging="360"/>
      </w:pPr>
      <w:rPr>
        <w:rFonts w:ascii="Symbol" w:hAnsi="Symbol" w:hint="default"/>
        <w:color w:val="auto"/>
        <w:sz w:val="22"/>
      </w:rPr>
    </w:lvl>
  </w:abstractNum>
  <w:abstractNum w:abstractNumId="30"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395D62B4"/>
    <w:multiLevelType w:val="multilevel"/>
    <w:tmpl w:val="E2AC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0F53FE"/>
    <w:multiLevelType w:val="hybridMultilevel"/>
    <w:tmpl w:val="5A48DB1E"/>
    <w:lvl w:ilvl="0" w:tplc="0C62681E">
      <w:start w:val="1"/>
      <w:numFmt w:val="bullet"/>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ED1609"/>
    <w:multiLevelType w:val="multilevel"/>
    <w:tmpl w:val="34203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872ABB"/>
    <w:multiLevelType w:val="hybridMultilevel"/>
    <w:tmpl w:val="F856C394"/>
    <w:lvl w:ilvl="0" w:tplc="D6C277BE">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9440009"/>
    <w:multiLevelType w:val="multilevel"/>
    <w:tmpl w:val="49BACF22"/>
    <w:lvl w:ilvl="0">
      <w:start w:val="1"/>
      <w:numFmt w:val="bullet"/>
      <w:lvlText w:val=""/>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4AAC79E7"/>
    <w:multiLevelType w:val="hybridMultilevel"/>
    <w:tmpl w:val="B93C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0CB4699"/>
    <w:multiLevelType w:val="multilevel"/>
    <w:tmpl w:val="51465480"/>
    <w:numStyleLink w:val="WRPbulletlist"/>
  </w:abstractNum>
  <w:abstractNum w:abstractNumId="41" w15:restartNumberingAfterBreak="0">
    <w:nsid w:val="52CE6FE3"/>
    <w:multiLevelType w:val="multilevel"/>
    <w:tmpl w:val="51465480"/>
    <w:numStyleLink w:val="WRPbulletlist"/>
  </w:abstractNum>
  <w:abstractNum w:abstractNumId="42" w15:restartNumberingAfterBreak="0">
    <w:nsid w:val="56CE6B58"/>
    <w:multiLevelType w:val="multilevel"/>
    <w:tmpl w:val="A66E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C7E1E1E"/>
    <w:multiLevelType w:val="hybridMultilevel"/>
    <w:tmpl w:val="4298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6" w15:restartNumberingAfterBreak="0">
    <w:nsid w:val="67E470FD"/>
    <w:multiLevelType w:val="multilevel"/>
    <w:tmpl w:val="F626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3131507">
    <w:abstractNumId w:val="34"/>
  </w:num>
  <w:num w:numId="2" w16cid:durableId="1911427510">
    <w:abstractNumId w:val="20"/>
  </w:num>
  <w:num w:numId="3" w16cid:durableId="333538160">
    <w:abstractNumId w:val="32"/>
  </w:num>
  <w:num w:numId="4" w16cid:durableId="112866770">
    <w:abstractNumId w:val="28"/>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2072918910">
    <w:abstractNumId w:val="26"/>
  </w:num>
  <w:num w:numId="6" w16cid:durableId="719591543">
    <w:abstractNumId w:val="18"/>
  </w:num>
  <w:num w:numId="7" w16cid:durableId="832990782">
    <w:abstractNumId w:val="45"/>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806362770">
    <w:abstractNumId w:val="24"/>
  </w:num>
  <w:num w:numId="9" w16cid:durableId="1325741325">
    <w:abstractNumId w:val="48"/>
  </w:num>
  <w:num w:numId="10" w16cid:durableId="327485528">
    <w:abstractNumId w:val="25"/>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1490364248">
    <w:abstractNumId w:val="43"/>
  </w:num>
  <w:num w:numId="12" w16cid:durableId="1923178851">
    <w:abstractNumId w:val="12"/>
  </w:num>
  <w:num w:numId="13" w16cid:durableId="514420091">
    <w:abstractNumId w:val="13"/>
  </w:num>
  <w:num w:numId="14" w16cid:durableId="1262568668">
    <w:abstractNumId w:val="41"/>
  </w:num>
  <w:num w:numId="15" w16cid:durableId="1446805447">
    <w:abstractNumId w:val="40"/>
  </w:num>
  <w:num w:numId="16" w16cid:durableId="2042823718">
    <w:abstractNumId w:val="29"/>
  </w:num>
  <w:num w:numId="17" w16cid:durableId="409499036">
    <w:abstractNumId w:val="37"/>
  </w:num>
  <w:num w:numId="18" w16cid:durableId="19498937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3053295">
    <w:abstractNumId w:val="39"/>
  </w:num>
  <w:num w:numId="20" w16cid:durableId="1016157369">
    <w:abstractNumId w:val="23"/>
  </w:num>
  <w:num w:numId="21" w16cid:durableId="212271959">
    <w:abstractNumId w:val="21"/>
  </w:num>
  <w:num w:numId="22" w16cid:durableId="478032476">
    <w:abstractNumId w:val="36"/>
  </w:num>
  <w:num w:numId="23" w16cid:durableId="516384065">
    <w:abstractNumId w:val="33"/>
  </w:num>
  <w:num w:numId="24" w16cid:durableId="1285961900">
    <w:abstractNumId w:val="47"/>
  </w:num>
  <w:num w:numId="25" w16cid:durableId="2041930791">
    <w:abstractNumId w:val="30"/>
  </w:num>
  <w:num w:numId="26" w16cid:durableId="1850094957">
    <w:abstractNumId w:val="0"/>
  </w:num>
  <w:num w:numId="27" w16cid:durableId="185365970">
    <w:abstractNumId w:val="1"/>
  </w:num>
  <w:num w:numId="28" w16cid:durableId="576672501">
    <w:abstractNumId w:val="2"/>
  </w:num>
  <w:num w:numId="29" w16cid:durableId="1444837493">
    <w:abstractNumId w:val="3"/>
  </w:num>
  <w:num w:numId="30" w16cid:durableId="1334869509">
    <w:abstractNumId w:val="8"/>
  </w:num>
  <w:num w:numId="31" w16cid:durableId="1739018212">
    <w:abstractNumId w:val="4"/>
  </w:num>
  <w:num w:numId="32" w16cid:durableId="9526135">
    <w:abstractNumId w:val="5"/>
  </w:num>
  <w:num w:numId="33" w16cid:durableId="1903981807">
    <w:abstractNumId w:val="6"/>
  </w:num>
  <w:num w:numId="34" w16cid:durableId="1707681920">
    <w:abstractNumId w:val="7"/>
  </w:num>
  <w:num w:numId="35" w16cid:durableId="1849829692">
    <w:abstractNumId w:val="9"/>
  </w:num>
  <w:num w:numId="36" w16cid:durableId="576549038">
    <w:abstractNumId w:val="42"/>
  </w:num>
  <w:num w:numId="37" w16cid:durableId="559446085">
    <w:abstractNumId w:val="22"/>
  </w:num>
  <w:num w:numId="38" w16cid:durableId="608467229">
    <w:abstractNumId w:val="27"/>
  </w:num>
  <w:num w:numId="39" w16cid:durableId="2107117213">
    <w:abstractNumId w:val="19"/>
  </w:num>
  <w:num w:numId="40" w16cid:durableId="1496140785">
    <w:abstractNumId w:val="35"/>
  </w:num>
  <w:num w:numId="41" w16cid:durableId="929780583">
    <w:abstractNumId w:val="17"/>
  </w:num>
  <w:num w:numId="42" w16cid:durableId="188027037">
    <w:abstractNumId w:val="14"/>
  </w:num>
  <w:num w:numId="43" w16cid:durableId="615676987">
    <w:abstractNumId w:val="10"/>
  </w:num>
  <w:num w:numId="44" w16cid:durableId="672807052">
    <w:abstractNumId w:val="15"/>
  </w:num>
  <w:num w:numId="45" w16cid:durableId="919950643">
    <w:abstractNumId w:val="38"/>
  </w:num>
  <w:num w:numId="46" w16cid:durableId="1590195623">
    <w:abstractNumId w:val="44"/>
  </w:num>
  <w:num w:numId="47" w16cid:durableId="1183937059">
    <w:abstractNumId w:val="16"/>
  </w:num>
  <w:num w:numId="48" w16cid:durableId="1446390682">
    <w:abstractNumId w:val="46"/>
  </w:num>
  <w:num w:numId="49" w16cid:durableId="98567535">
    <w:abstractNumId w:val="31"/>
  </w:num>
  <w:num w:numId="50" w16cid:durableId="142337820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1073"/>
    <w:rsid w:val="00001F92"/>
    <w:rsid w:val="0000214A"/>
    <w:rsid w:val="0000284D"/>
    <w:rsid w:val="00003A3A"/>
    <w:rsid w:val="00003ED3"/>
    <w:rsid w:val="00005027"/>
    <w:rsid w:val="00005C8D"/>
    <w:rsid w:val="00006FAF"/>
    <w:rsid w:val="00007CEE"/>
    <w:rsid w:val="000107DE"/>
    <w:rsid w:val="00010F78"/>
    <w:rsid w:val="0001166C"/>
    <w:rsid w:val="000130F7"/>
    <w:rsid w:val="00014219"/>
    <w:rsid w:val="00014920"/>
    <w:rsid w:val="00014DB1"/>
    <w:rsid w:val="00015FB2"/>
    <w:rsid w:val="0002093A"/>
    <w:rsid w:val="00022049"/>
    <w:rsid w:val="00022520"/>
    <w:rsid w:val="00023D2F"/>
    <w:rsid w:val="00024148"/>
    <w:rsid w:val="0002474A"/>
    <w:rsid w:val="00025198"/>
    <w:rsid w:val="000319EA"/>
    <w:rsid w:val="0003286D"/>
    <w:rsid w:val="000328D8"/>
    <w:rsid w:val="000343EC"/>
    <w:rsid w:val="000360F5"/>
    <w:rsid w:val="00036E33"/>
    <w:rsid w:val="000414CC"/>
    <w:rsid w:val="00042489"/>
    <w:rsid w:val="00042678"/>
    <w:rsid w:val="000431C1"/>
    <w:rsid w:val="000431E9"/>
    <w:rsid w:val="0004377D"/>
    <w:rsid w:val="00045ED2"/>
    <w:rsid w:val="00050411"/>
    <w:rsid w:val="0005159A"/>
    <w:rsid w:val="00056A8B"/>
    <w:rsid w:val="0006096B"/>
    <w:rsid w:val="000623E9"/>
    <w:rsid w:val="00064050"/>
    <w:rsid w:val="0006471F"/>
    <w:rsid w:val="0006592A"/>
    <w:rsid w:val="00070879"/>
    <w:rsid w:val="00071C7A"/>
    <w:rsid w:val="00071CF6"/>
    <w:rsid w:val="00075F88"/>
    <w:rsid w:val="000813F3"/>
    <w:rsid w:val="000821E7"/>
    <w:rsid w:val="00084675"/>
    <w:rsid w:val="000852AA"/>
    <w:rsid w:val="00086CAE"/>
    <w:rsid w:val="00087877"/>
    <w:rsid w:val="00094BAA"/>
    <w:rsid w:val="000967E9"/>
    <w:rsid w:val="00096E1D"/>
    <w:rsid w:val="000A11D0"/>
    <w:rsid w:val="000A138C"/>
    <w:rsid w:val="000A29DC"/>
    <w:rsid w:val="000A33B5"/>
    <w:rsid w:val="000B1215"/>
    <w:rsid w:val="000B1604"/>
    <w:rsid w:val="000B2187"/>
    <w:rsid w:val="000B7368"/>
    <w:rsid w:val="000C06A6"/>
    <w:rsid w:val="000C1064"/>
    <w:rsid w:val="000C12FD"/>
    <w:rsid w:val="000C2FA8"/>
    <w:rsid w:val="000C3381"/>
    <w:rsid w:val="000C38BD"/>
    <w:rsid w:val="000C3DAF"/>
    <w:rsid w:val="000C3E88"/>
    <w:rsid w:val="000C607A"/>
    <w:rsid w:val="000D1A7D"/>
    <w:rsid w:val="000D2E3A"/>
    <w:rsid w:val="000D36F8"/>
    <w:rsid w:val="000D3AD4"/>
    <w:rsid w:val="000D3B79"/>
    <w:rsid w:val="000D4281"/>
    <w:rsid w:val="000D5901"/>
    <w:rsid w:val="000D6412"/>
    <w:rsid w:val="000D6D4C"/>
    <w:rsid w:val="000D6D7F"/>
    <w:rsid w:val="000E1D58"/>
    <w:rsid w:val="000E1DC9"/>
    <w:rsid w:val="000E206D"/>
    <w:rsid w:val="000E3265"/>
    <w:rsid w:val="000E4E2B"/>
    <w:rsid w:val="000E5C4F"/>
    <w:rsid w:val="000E6685"/>
    <w:rsid w:val="000F0238"/>
    <w:rsid w:val="000F02E2"/>
    <w:rsid w:val="000F15B7"/>
    <w:rsid w:val="000F18BF"/>
    <w:rsid w:val="000F265E"/>
    <w:rsid w:val="000F3C48"/>
    <w:rsid w:val="0010058A"/>
    <w:rsid w:val="0010113A"/>
    <w:rsid w:val="00103AE2"/>
    <w:rsid w:val="0010480B"/>
    <w:rsid w:val="00105C52"/>
    <w:rsid w:val="001071DE"/>
    <w:rsid w:val="001072EB"/>
    <w:rsid w:val="00110884"/>
    <w:rsid w:val="00110D80"/>
    <w:rsid w:val="00110E64"/>
    <w:rsid w:val="001115B4"/>
    <w:rsid w:val="00111BB6"/>
    <w:rsid w:val="001128B0"/>
    <w:rsid w:val="00112D04"/>
    <w:rsid w:val="0012066D"/>
    <w:rsid w:val="0012075A"/>
    <w:rsid w:val="00122FC1"/>
    <w:rsid w:val="00123036"/>
    <w:rsid w:val="00124F28"/>
    <w:rsid w:val="0013005B"/>
    <w:rsid w:val="00134F23"/>
    <w:rsid w:val="00137978"/>
    <w:rsid w:val="00137FE6"/>
    <w:rsid w:val="00140657"/>
    <w:rsid w:val="00140B7F"/>
    <w:rsid w:val="00142681"/>
    <w:rsid w:val="001438C7"/>
    <w:rsid w:val="001502E3"/>
    <w:rsid w:val="00151C79"/>
    <w:rsid w:val="001556EA"/>
    <w:rsid w:val="00156AB9"/>
    <w:rsid w:val="00156AC6"/>
    <w:rsid w:val="00160227"/>
    <w:rsid w:val="00162589"/>
    <w:rsid w:val="00164E03"/>
    <w:rsid w:val="00165190"/>
    <w:rsid w:val="0016519A"/>
    <w:rsid w:val="001654C6"/>
    <w:rsid w:val="00166430"/>
    <w:rsid w:val="0016707E"/>
    <w:rsid w:val="0017145C"/>
    <w:rsid w:val="00171B7F"/>
    <w:rsid w:val="0017348D"/>
    <w:rsid w:val="001755DF"/>
    <w:rsid w:val="00176B3B"/>
    <w:rsid w:val="00176CBA"/>
    <w:rsid w:val="00180359"/>
    <w:rsid w:val="00181227"/>
    <w:rsid w:val="0018157B"/>
    <w:rsid w:val="00181622"/>
    <w:rsid w:val="00181890"/>
    <w:rsid w:val="00187123"/>
    <w:rsid w:val="00187F6E"/>
    <w:rsid w:val="00190D2F"/>
    <w:rsid w:val="00192029"/>
    <w:rsid w:val="001A0CFA"/>
    <w:rsid w:val="001A12EF"/>
    <w:rsid w:val="001A2F90"/>
    <w:rsid w:val="001A30DC"/>
    <w:rsid w:val="001A4AFD"/>
    <w:rsid w:val="001A5B1C"/>
    <w:rsid w:val="001A5F3E"/>
    <w:rsid w:val="001A6CE6"/>
    <w:rsid w:val="001B0133"/>
    <w:rsid w:val="001B07AC"/>
    <w:rsid w:val="001B2EFD"/>
    <w:rsid w:val="001B4A26"/>
    <w:rsid w:val="001B4AE7"/>
    <w:rsid w:val="001B72B1"/>
    <w:rsid w:val="001B7C23"/>
    <w:rsid w:val="001C01E0"/>
    <w:rsid w:val="001C1A7F"/>
    <w:rsid w:val="001C2196"/>
    <w:rsid w:val="001C284E"/>
    <w:rsid w:val="001C4083"/>
    <w:rsid w:val="001C4306"/>
    <w:rsid w:val="001C6510"/>
    <w:rsid w:val="001C6595"/>
    <w:rsid w:val="001C65BB"/>
    <w:rsid w:val="001C7081"/>
    <w:rsid w:val="001D0607"/>
    <w:rsid w:val="001D083A"/>
    <w:rsid w:val="001D2C5A"/>
    <w:rsid w:val="001D3EE7"/>
    <w:rsid w:val="001D51DB"/>
    <w:rsid w:val="001D54C0"/>
    <w:rsid w:val="001D5785"/>
    <w:rsid w:val="001D6230"/>
    <w:rsid w:val="001E151C"/>
    <w:rsid w:val="001E1E74"/>
    <w:rsid w:val="001E2AF2"/>
    <w:rsid w:val="001E2BB1"/>
    <w:rsid w:val="001E5422"/>
    <w:rsid w:val="001F5000"/>
    <w:rsid w:val="00200BAA"/>
    <w:rsid w:val="002041DC"/>
    <w:rsid w:val="00204F6B"/>
    <w:rsid w:val="00205041"/>
    <w:rsid w:val="00205953"/>
    <w:rsid w:val="002059A5"/>
    <w:rsid w:val="002068D3"/>
    <w:rsid w:val="00210036"/>
    <w:rsid w:val="002137DC"/>
    <w:rsid w:val="00216814"/>
    <w:rsid w:val="00224A4D"/>
    <w:rsid w:val="00224D3E"/>
    <w:rsid w:val="00224E3D"/>
    <w:rsid w:val="002251C5"/>
    <w:rsid w:val="00226450"/>
    <w:rsid w:val="00226C05"/>
    <w:rsid w:val="00227743"/>
    <w:rsid w:val="002278C9"/>
    <w:rsid w:val="0023369A"/>
    <w:rsid w:val="00233988"/>
    <w:rsid w:val="00234C19"/>
    <w:rsid w:val="00240D94"/>
    <w:rsid w:val="002410C4"/>
    <w:rsid w:val="00241AC9"/>
    <w:rsid w:val="00241EB0"/>
    <w:rsid w:val="0024296A"/>
    <w:rsid w:val="002447D4"/>
    <w:rsid w:val="00244CEC"/>
    <w:rsid w:val="00250D27"/>
    <w:rsid w:val="00251E3A"/>
    <w:rsid w:val="0025213F"/>
    <w:rsid w:val="00252505"/>
    <w:rsid w:val="002531B5"/>
    <w:rsid w:val="002638A2"/>
    <w:rsid w:val="00267C1F"/>
    <w:rsid w:val="00275355"/>
    <w:rsid w:val="00275818"/>
    <w:rsid w:val="00276678"/>
    <w:rsid w:val="00283CEE"/>
    <w:rsid w:val="002868DD"/>
    <w:rsid w:val="002903E1"/>
    <w:rsid w:val="0029071E"/>
    <w:rsid w:val="00292BD4"/>
    <w:rsid w:val="002934EB"/>
    <w:rsid w:val="00295928"/>
    <w:rsid w:val="00296A77"/>
    <w:rsid w:val="002A183D"/>
    <w:rsid w:val="002A36AB"/>
    <w:rsid w:val="002A3B21"/>
    <w:rsid w:val="002A4D4B"/>
    <w:rsid w:val="002A57DA"/>
    <w:rsid w:val="002A57E9"/>
    <w:rsid w:val="002A6386"/>
    <w:rsid w:val="002A7362"/>
    <w:rsid w:val="002B0AA6"/>
    <w:rsid w:val="002B1239"/>
    <w:rsid w:val="002B330C"/>
    <w:rsid w:val="002B4609"/>
    <w:rsid w:val="002B466A"/>
    <w:rsid w:val="002B4C3E"/>
    <w:rsid w:val="002B676D"/>
    <w:rsid w:val="002B7334"/>
    <w:rsid w:val="002B7682"/>
    <w:rsid w:val="002C0B4E"/>
    <w:rsid w:val="002C284E"/>
    <w:rsid w:val="002C39A6"/>
    <w:rsid w:val="002C52F9"/>
    <w:rsid w:val="002C6ADA"/>
    <w:rsid w:val="002D01ED"/>
    <w:rsid w:val="002D0E2F"/>
    <w:rsid w:val="002D3808"/>
    <w:rsid w:val="002D5D31"/>
    <w:rsid w:val="002D5F25"/>
    <w:rsid w:val="002E07B1"/>
    <w:rsid w:val="002E20CD"/>
    <w:rsid w:val="002E2980"/>
    <w:rsid w:val="002E2C6A"/>
    <w:rsid w:val="002E3C5F"/>
    <w:rsid w:val="002E7BD2"/>
    <w:rsid w:val="002F2709"/>
    <w:rsid w:val="002F4008"/>
    <w:rsid w:val="002F4BB8"/>
    <w:rsid w:val="002F4C50"/>
    <w:rsid w:val="002F71DA"/>
    <w:rsid w:val="00300E80"/>
    <w:rsid w:val="003025C3"/>
    <w:rsid w:val="0030325F"/>
    <w:rsid w:val="00303D27"/>
    <w:rsid w:val="00303D2C"/>
    <w:rsid w:val="00306CED"/>
    <w:rsid w:val="0030737F"/>
    <w:rsid w:val="003126E2"/>
    <w:rsid w:val="0031299E"/>
    <w:rsid w:val="0031576E"/>
    <w:rsid w:val="003157A7"/>
    <w:rsid w:val="00317798"/>
    <w:rsid w:val="00322574"/>
    <w:rsid w:val="003243B8"/>
    <w:rsid w:val="00325CEA"/>
    <w:rsid w:val="0032603A"/>
    <w:rsid w:val="00327536"/>
    <w:rsid w:val="00330A36"/>
    <w:rsid w:val="0033124C"/>
    <w:rsid w:val="0033332D"/>
    <w:rsid w:val="003337AB"/>
    <w:rsid w:val="0033492D"/>
    <w:rsid w:val="003353BC"/>
    <w:rsid w:val="00335CD8"/>
    <w:rsid w:val="00340544"/>
    <w:rsid w:val="00342344"/>
    <w:rsid w:val="00345509"/>
    <w:rsid w:val="00345AE9"/>
    <w:rsid w:val="00346354"/>
    <w:rsid w:val="00346B82"/>
    <w:rsid w:val="00350745"/>
    <w:rsid w:val="00351FA8"/>
    <w:rsid w:val="0035397C"/>
    <w:rsid w:val="00354519"/>
    <w:rsid w:val="00357158"/>
    <w:rsid w:val="00360069"/>
    <w:rsid w:val="00360209"/>
    <w:rsid w:val="00361677"/>
    <w:rsid w:val="003621B8"/>
    <w:rsid w:val="0036547F"/>
    <w:rsid w:val="003654CD"/>
    <w:rsid w:val="003665CF"/>
    <w:rsid w:val="003769CA"/>
    <w:rsid w:val="00380F58"/>
    <w:rsid w:val="00391FF0"/>
    <w:rsid w:val="00392CDF"/>
    <w:rsid w:val="003945C3"/>
    <w:rsid w:val="00395024"/>
    <w:rsid w:val="003A76BD"/>
    <w:rsid w:val="003A7A3C"/>
    <w:rsid w:val="003B3AB2"/>
    <w:rsid w:val="003B711A"/>
    <w:rsid w:val="003C158E"/>
    <w:rsid w:val="003C2511"/>
    <w:rsid w:val="003C5A5F"/>
    <w:rsid w:val="003C68CB"/>
    <w:rsid w:val="003D0BD8"/>
    <w:rsid w:val="003D1359"/>
    <w:rsid w:val="003D1F93"/>
    <w:rsid w:val="003D6052"/>
    <w:rsid w:val="003D7361"/>
    <w:rsid w:val="003E137C"/>
    <w:rsid w:val="003E18B5"/>
    <w:rsid w:val="003E1E01"/>
    <w:rsid w:val="003E2F10"/>
    <w:rsid w:val="003E709B"/>
    <w:rsid w:val="003F14CE"/>
    <w:rsid w:val="003F50EB"/>
    <w:rsid w:val="003F56A9"/>
    <w:rsid w:val="003F5DC2"/>
    <w:rsid w:val="003F79B2"/>
    <w:rsid w:val="0040067E"/>
    <w:rsid w:val="00400C1C"/>
    <w:rsid w:val="00403750"/>
    <w:rsid w:val="0040379D"/>
    <w:rsid w:val="0041078C"/>
    <w:rsid w:val="00410AA4"/>
    <w:rsid w:val="00410C02"/>
    <w:rsid w:val="00413EA5"/>
    <w:rsid w:val="00416C14"/>
    <w:rsid w:val="00417866"/>
    <w:rsid w:val="004202CF"/>
    <w:rsid w:val="00423A7E"/>
    <w:rsid w:val="00424005"/>
    <w:rsid w:val="004267D7"/>
    <w:rsid w:val="004278E3"/>
    <w:rsid w:val="00431ABA"/>
    <w:rsid w:val="00434AA8"/>
    <w:rsid w:val="00435FBC"/>
    <w:rsid w:val="00435FE3"/>
    <w:rsid w:val="00436098"/>
    <w:rsid w:val="0043636D"/>
    <w:rsid w:val="00436A7F"/>
    <w:rsid w:val="00437F45"/>
    <w:rsid w:val="004429B4"/>
    <w:rsid w:val="00444625"/>
    <w:rsid w:val="0044463F"/>
    <w:rsid w:val="00444878"/>
    <w:rsid w:val="00450017"/>
    <w:rsid w:val="004505BD"/>
    <w:rsid w:val="00451346"/>
    <w:rsid w:val="00453EE5"/>
    <w:rsid w:val="00454F25"/>
    <w:rsid w:val="004567A1"/>
    <w:rsid w:val="00457471"/>
    <w:rsid w:val="00460DF4"/>
    <w:rsid w:val="0046279B"/>
    <w:rsid w:val="004630FF"/>
    <w:rsid w:val="00463EF7"/>
    <w:rsid w:val="00470BB5"/>
    <w:rsid w:val="00471717"/>
    <w:rsid w:val="004728F5"/>
    <w:rsid w:val="00475A5D"/>
    <w:rsid w:val="00475F52"/>
    <w:rsid w:val="004801E3"/>
    <w:rsid w:val="00486CAE"/>
    <w:rsid w:val="00492B2B"/>
    <w:rsid w:val="00492C5D"/>
    <w:rsid w:val="00497911"/>
    <w:rsid w:val="004A093D"/>
    <w:rsid w:val="004A2411"/>
    <w:rsid w:val="004A49A0"/>
    <w:rsid w:val="004A77DC"/>
    <w:rsid w:val="004B33EC"/>
    <w:rsid w:val="004B5EB9"/>
    <w:rsid w:val="004B61D5"/>
    <w:rsid w:val="004C17C5"/>
    <w:rsid w:val="004C3085"/>
    <w:rsid w:val="004C3DB5"/>
    <w:rsid w:val="004C4C72"/>
    <w:rsid w:val="004C5F30"/>
    <w:rsid w:val="004D195E"/>
    <w:rsid w:val="004D3FD6"/>
    <w:rsid w:val="004D60BC"/>
    <w:rsid w:val="004D6401"/>
    <w:rsid w:val="004D7193"/>
    <w:rsid w:val="004D78ED"/>
    <w:rsid w:val="004E1628"/>
    <w:rsid w:val="004E165D"/>
    <w:rsid w:val="004E3AF8"/>
    <w:rsid w:val="004E53C6"/>
    <w:rsid w:val="004E6838"/>
    <w:rsid w:val="004E6E12"/>
    <w:rsid w:val="004F1E84"/>
    <w:rsid w:val="004F6F63"/>
    <w:rsid w:val="004F7C20"/>
    <w:rsid w:val="0050082B"/>
    <w:rsid w:val="00502CFE"/>
    <w:rsid w:val="00506B4B"/>
    <w:rsid w:val="005114AE"/>
    <w:rsid w:val="00512608"/>
    <w:rsid w:val="00512804"/>
    <w:rsid w:val="00512F4F"/>
    <w:rsid w:val="00514157"/>
    <w:rsid w:val="00516F4A"/>
    <w:rsid w:val="00520D09"/>
    <w:rsid w:val="00522735"/>
    <w:rsid w:val="00522CC8"/>
    <w:rsid w:val="00523E42"/>
    <w:rsid w:val="00523E72"/>
    <w:rsid w:val="00524223"/>
    <w:rsid w:val="00524984"/>
    <w:rsid w:val="00524D0E"/>
    <w:rsid w:val="00524EBB"/>
    <w:rsid w:val="00526ECF"/>
    <w:rsid w:val="0053099F"/>
    <w:rsid w:val="00530C06"/>
    <w:rsid w:val="00531933"/>
    <w:rsid w:val="005324DB"/>
    <w:rsid w:val="00532A2F"/>
    <w:rsid w:val="0053583A"/>
    <w:rsid w:val="005404CB"/>
    <w:rsid w:val="00541181"/>
    <w:rsid w:val="00542B02"/>
    <w:rsid w:val="005445EB"/>
    <w:rsid w:val="005446BD"/>
    <w:rsid w:val="00544EA0"/>
    <w:rsid w:val="0054717B"/>
    <w:rsid w:val="005473B1"/>
    <w:rsid w:val="00550154"/>
    <w:rsid w:val="00550A6C"/>
    <w:rsid w:val="005511DE"/>
    <w:rsid w:val="00552402"/>
    <w:rsid w:val="00553915"/>
    <w:rsid w:val="00554DB2"/>
    <w:rsid w:val="005550EB"/>
    <w:rsid w:val="005566AE"/>
    <w:rsid w:val="00556CC6"/>
    <w:rsid w:val="00560DA3"/>
    <w:rsid w:val="00560FC8"/>
    <w:rsid w:val="00563F05"/>
    <w:rsid w:val="00563FEB"/>
    <w:rsid w:val="005644EF"/>
    <w:rsid w:val="005648B0"/>
    <w:rsid w:val="0056606C"/>
    <w:rsid w:val="005701E0"/>
    <w:rsid w:val="00574863"/>
    <w:rsid w:val="00575A71"/>
    <w:rsid w:val="00575B0A"/>
    <w:rsid w:val="00576D2D"/>
    <w:rsid w:val="00577A5C"/>
    <w:rsid w:val="00581C5C"/>
    <w:rsid w:val="00584127"/>
    <w:rsid w:val="005905BB"/>
    <w:rsid w:val="005905C0"/>
    <w:rsid w:val="0059493B"/>
    <w:rsid w:val="00594DA3"/>
    <w:rsid w:val="00594FA0"/>
    <w:rsid w:val="005979D7"/>
    <w:rsid w:val="005A10AE"/>
    <w:rsid w:val="005A3970"/>
    <w:rsid w:val="005A4AFA"/>
    <w:rsid w:val="005A5105"/>
    <w:rsid w:val="005A51C8"/>
    <w:rsid w:val="005B0FC1"/>
    <w:rsid w:val="005B1921"/>
    <w:rsid w:val="005B25C4"/>
    <w:rsid w:val="005B3714"/>
    <w:rsid w:val="005B4E1C"/>
    <w:rsid w:val="005B75B0"/>
    <w:rsid w:val="005C39B9"/>
    <w:rsid w:val="005C542D"/>
    <w:rsid w:val="005C5B7B"/>
    <w:rsid w:val="005C6E09"/>
    <w:rsid w:val="005C742A"/>
    <w:rsid w:val="005C7833"/>
    <w:rsid w:val="005D273E"/>
    <w:rsid w:val="005D2B96"/>
    <w:rsid w:val="005D5416"/>
    <w:rsid w:val="005D5A17"/>
    <w:rsid w:val="005D6104"/>
    <w:rsid w:val="005D6ED7"/>
    <w:rsid w:val="005E01A6"/>
    <w:rsid w:val="005E7045"/>
    <w:rsid w:val="005E7C00"/>
    <w:rsid w:val="005F3228"/>
    <w:rsid w:val="005F41F2"/>
    <w:rsid w:val="005F4FE5"/>
    <w:rsid w:val="005F5ED4"/>
    <w:rsid w:val="005F6843"/>
    <w:rsid w:val="005F6ECA"/>
    <w:rsid w:val="00600A6A"/>
    <w:rsid w:val="006016C1"/>
    <w:rsid w:val="006022A4"/>
    <w:rsid w:val="00602920"/>
    <w:rsid w:val="0060582D"/>
    <w:rsid w:val="006064B0"/>
    <w:rsid w:val="00612F3F"/>
    <w:rsid w:val="006158EF"/>
    <w:rsid w:val="00617C22"/>
    <w:rsid w:val="00620652"/>
    <w:rsid w:val="006223B5"/>
    <w:rsid w:val="00624226"/>
    <w:rsid w:val="00624CA5"/>
    <w:rsid w:val="006260DA"/>
    <w:rsid w:val="006261BE"/>
    <w:rsid w:val="0062660F"/>
    <w:rsid w:val="00627FB3"/>
    <w:rsid w:val="006304F0"/>
    <w:rsid w:val="0063257D"/>
    <w:rsid w:val="00636CFE"/>
    <w:rsid w:val="00640171"/>
    <w:rsid w:val="0064056D"/>
    <w:rsid w:val="00640C76"/>
    <w:rsid w:val="006442DB"/>
    <w:rsid w:val="00647577"/>
    <w:rsid w:val="00650875"/>
    <w:rsid w:val="0065109C"/>
    <w:rsid w:val="00651281"/>
    <w:rsid w:val="006520E7"/>
    <w:rsid w:val="00653629"/>
    <w:rsid w:val="006571CE"/>
    <w:rsid w:val="00657D8E"/>
    <w:rsid w:val="00661F9E"/>
    <w:rsid w:val="00662C73"/>
    <w:rsid w:val="006632CD"/>
    <w:rsid w:val="00664086"/>
    <w:rsid w:val="006642CC"/>
    <w:rsid w:val="0066702D"/>
    <w:rsid w:val="0067118D"/>
    <w:rsid w:val="0067138D"/>
    <w:rsid w:val="00671662"/>
    <w:rsid w:val="00674391"/>
    <w:rsid w:val="00675E03"/>
    <w:rsid w:val="00676521"/>
    <w:rsid w:val="006768A8"/>
    <w:rsid w:val="00676C1D"/>
    <w:rsid w:val="00677783"/>
    <w:rsid w:val="00677897"/>
    <w:rsid w:val="00681491"/>
    <w:rsid w:val="00683481"/>
    <w:rsid w:val="00690F4E"/>
    <w:rsid w:val="00693662"/>
    <w:rsid w:val="00693D78"/>
    <w:rsid w:val="00694A03"/>
    <w:rsid w:val="00696376"/>
    <w:rsid w:val="00697A8B"/>
    <w:rsid w:val="006A21A2"/>
    <w:rsid w:val="006A2724"/>
    <w:rsid w:val="006A5312"/>
    <w:rsid w:val="006A5E0B"/>
    <w:rsid w:val="006A71F2"/>
    <w:rsid w:val="006B02B0"/>
    <w:rsid w:val="006B1623"/>
    <w:rsid w:val="006B1B23"/>
    <w:rsid w:val="006B4D88"/>
    <w:rsid w:val="006B62F7"/>
    <w:rsid w:val="006B662C"/>
    <w:rsid w:val="006B68CB"/>
    <w:rsid w:val="006B785B"/>
    <w:rsid w:val="006B7B41"/>
    <w:rsid w:val="006C0295"/>
    <w:rsid w:val="006C22EA"/>
    <w:rsid w:val="006C249F"/>
    <w:rsid w:val="006C6E41"/>
    <w:rsid w:val="006C7787"/>
    <w:rsid w:val="006D5EFB"/>
    <w:rsid w:val="006D66BD"/>
    <w:rsid w:val="006D7CA3"/>
    <w:rsid w:val="006E197B"/>
    <w:rsid w:val="006E1CA0"/>
    <w:rsid w:val="006E211C"/>
    <w:rsid w:val="006E320A"/>
    <w:rsid w:val="006E3853"/>
    <w:rsid w:val="006E3D8F"/>
    <w:rsid w:val="006F0DBC"/>
    <w:rsid w:val="006F1211"/>
    <w:rsid w:val="006F3BFB"/>
    <w:rsid w:val="006F5867"/>
    <w:rsid w:val="006F6969"/>
    <w:rsid w:val="006F698C"/>
    <w:rsid w:val="007037AF"/>
    <w:rsid w:val="007051BF"/>
    <w:rsid w:val="00707E33"/>
    <w:rsid w:val="00707E9E"/>
    <w:rsid w:val="007131AA"/>
    <w:rsid w:val="007204FE"/>
    <w:rsid w:val="00720F8A"/>
    <w:rsid w:val="0072175D"/>
    <w:rsid w:val="00723AC7"/>
    <w:rsid w:val="00723C19"/>
    <w:rsid w:val="0072477E"/>
    <w:rsid w:val="007255C9"/>
    <w:rsid w:val="00727A3C"/>
    <w:rsid w:val="007303CD"/>
    <w:rsid w:val="00731633"/>
    <w:rsid w:val="00731B0D"/>
    <w:rsid w:val="00733594"/>
    <w:rsid w:val="00735666"/>
    <w:rsid w:val="0073713F"/>
    <w:rsid w:val="00737442"/>
    <w:rsid w:val="007377E4"/>
    <w:rsid w:val="00737D65"/>
    <w:rsid w:val="00742404"/>
    <w:rsid w:val="00742A20"/>
    <w:rsid w:val="00743E44"/>
    <w:rsid w:val="00747801"/>
    <w:rsid w:val="00750E96"/>
    <w:rsid w:val="00752D2E"/>
    <w:rsid w:val="007536A1"/>
    <w:rsid w:val="00762115"/>
    <w:rsid w:val="007649A5"/>
    <w:rsid w:val="00767ECF"/>
    <w:rsid w:val="00772846"/>
    <w:rsid w:val="00772BC2"/>
    <w:rsid w:val="007805BE"/>
    <w:rsid w:val="00781A83"/>
    <w:rsid w:val="00782776"/>
    <w:rsid w:val="00782928"/>
    <w:rsid w:val="00782F2B"/>
    <w:rsid w:val="0078398B"/>
    <w:rsid w:val="0078445B"/>
    <w:rsid w:val="00786F5F"/>
    <w:rsid w:val="00787F1B"/>
    <w:rsid w:val="00792A0B"/>
    <w:rsid w:val="00792DEA"/>
    <w:rsid w:val="00793C11"/>
    <w:rsid w:val="00796527"/>
    <w:rsid w:val="007979B2"/>
    <w:rsid w:val="007A0EEF"/>
    <w:rsid w:val="007A4F3C"/>
    <w:rsid w:val="007A5C07"/>
    <w:rsid w:val="007A740E"/>
    <w:rsid w:val="007B022F"/>
    <w:rsid w:val="007B7A83"/>
    <w:rsid w:val="007C0698"/>
    <w:rsid w:val="007C64BF"/>
    <w:rsid w:val="007C6F3C"/>
    <w:rsid w:val="007D0593"/>
    <w:rsid w:val="007D0E16"/>
    <w:rsid w:val="007D12C0"/>
    <w:rsid w:val="007D1FF2"/>
    <w:rsid w:val="007D246D"/>
    <w:rsid w:val="007D2DF3"/>
    <w:rsid w:val="007D4DC8"/>
    <w:rsid w:val="007D5CC7"/>
    <w:rsid w:val="007E1240"/>
    <w:rsid w:val="007E7F85"/>
    <w:rsid w:val="007F1029"/>
    <w:rsid w:val="007F264A"/>
    <w:rsid w:val="007F33B8"/>
    <w:rsid w:val="007F4344"/>
    <w:rsid w:val="007F53B8"/>
    <w:rsid w:val="007F7760"/>
    <w:rsid w:val="008026BB"/>
    <w:rsid w:val="008031DF"/>
    <w:rsid w:val="0080356A"/>
    <w:rsid w:val="00803DD6"/>
    <w:rsid w:val="00804768"/>
    <w:rsid w:val="00804F5C"/>
    <w:rsid w:val="00811705"/>
    <w:rsid w:val="008122B9"/>
    <w:rsid w:val="00813A7D"/>
    <w:rsid w:val="008151C8"/>
    <w:rsid w:val="00816736"/>
    <w:rsid w:val="00820680"/>
    <w:rsid w:val="00822025"/>
    <w:rsid w:val="00823167"/>
    <w:rsid w:val="00823EB4"/>
    <w:rsid w:val="008249C4"/>
    <w:rsid w:val="008258C8"/>
    <w:rsid w:val="00825D7D"/>
    <w:rsid w:val="00830A86"/>
    <w:rsid w:val="008320B4"/>
    <w:rsid w:val="00833BB0"/>
    <w:rsid w:val="00834A76"/>
    <w:rsid w:val="00834FA0"/>
    <w:rsid w:val="00836145"/>
    <w:rsid w:val="00836332"/>
    <w:rsid w:val="00836829"/>
    <w:rsid w:val="00840BFF"/>
    <w:rsid w:val="00843055"/>
    <w:rsid w:val="008459F8"/>
    <w:rsid w:val="00850451"/>
    <w:rsid w:val="00851299"/>
    <w:rsid w:val="008536C4"/>
    <w:rsid w:val="00854698"/>
    <w:rsid w:val="00854DC0"/>
    <w:rsid w:val="00855089"/>
    <w:rsid w:val="00855AC3"/>
    <w:rsid w:val="0085763D"/>
    <w:rsid w:val="008579D4"/>
    <w:rsid w:val="00857A16"/>
    <w:rsid w:val="00857C9D"/>
    <w:rsid w:val="00861BFC"/>
    <w:rsid w:val="00863EA3"/>
    <w:rsid w:val="008728EE"/>
    <w:rsid w:val="00872AEB"/>
    <w:rsid w:val="00873CBB"/>
    <w:rsid w:val="008759A3"/>
    <w:rsid w:val="00875F6A"/>
    <w:rsid w:val="008845E2"/>
    <w:rsid w:val="00887C41"/>
    <w:rsid w:val="0089080C"/>
    <w:rsid w:val="00890A98"/>
    <w:rsid w:val="00891E59"/>
    <w:rsid w:val="00894DA9"/>
    <w:rsid w:val="00895449"/>
    <w:rsid w:val="00896170"/>
    <w:rsid w:val="00897003"/>
    <w:rsid w:val="008A4CF2"/>
    <w:rsid w:val="008A59D9"/>
    <w:rsid w:val="008A7C9B"/>
    <w:rsid w:val="008B0EF1"/>
    <w:rsid w:val="008B293B"/>
    <w:rsid w:val="008B3EED"/>
    <w:rsid w:val="008B5F4B"/>
    <w:rsid w:val="008C15ED"/>
    <w:rsid w:val="008C30FB"/>
    <w:rsid w:val="008C33A7"/>
    <w:rsid w:val="008C5AA8"/>
    <w:rsid w:val="008C6295"/>
    <w:rsid w:val="008C69B8"/>
    <w:rsid w:val="008C79E0"/>
    <w:rsid w:val="008D15AF"/>
    <w:rsid w:val="008E0A68"/>
    <w:rsid w:val="008E16B1"/>
    <w:rsid w:val="008E2151"/>
    <w:rsid w:val="008E472C"/>
    <w:rsid w:val="008E4A72"/>
    <w:rsid w:val="008E68B0"/>
    <w:rsid w:val="008F0302"/>
    <w:rsid w:val="008F149D"/>
    <w:rsid w:val="008F23B6"/>
    <w:rsid w:val="008F291C"/>
    <w:rsid w:val="008F410B"/>
    <w:rsid w:val="008F4D72"/>
    <w:rsid w:val="00901095"/>
    <w:rsid w:val="0090206F"/>
    <w:rsid w:val="009023B7"/>
    <w:rsid w:val="00903CCD"/>
    <w:rsid w:val="00906B64"/>
    <w:rsid w:val="00906D9C"/>
    <w:rsid w:val="00907D5B"/>
    <w:rsid w:val="00912F6A"/>
    <w:rsid w:val="00914F00"/>
    <w:rsid w:val="00920C82"/>
    <w:rsid w:val="00920C9B"/>
    <w:rsid w:val="009217E4"/>
    <w:rsid w:val="00922BBF"/>
    <w:rsid w:val="009245FD"/>
    <w:rsid w:val="00924E61"/>
    <w:rsid w:val="009251A1"/>
    <w:rsid w:val="009313EA"/>
    <w:rsid w:val="00932709"/>
    <w:rsid w:val="0093285B"/>
    <w:rsid w:val="00932D12"/>
    <w:rsid w:val="0094017F"/>
    <w:rsid w:val="0094293D"/>
    <w:rsid w:val="0094369E"/>
    <w:rsid w:val="00944C52"/>
    <w:rsid w:val="00945475"/>
    <w:rsid w:val="0094566E"/>
    <w:rsid w:val="00947E5E"/>
    <w:rsid w:val="009503EE"/>
    <w:rsid w:val="00951A99"/>
    <w:rsid w:val="00952D78"/>
    <w:rsid w:val="00952FCB"/>
    <w:rsid w:val="00954B9F"/>
    <w:rsid w:val="009556B0"/>
    <w:rsid w:val="00955747"/>
    <w:rsid w:val="009563F7"/>
    <w:rsid w:val="00956469"/>
    <w:rsid w:val="00960C82"/>
    <w:rsid w:val="00961B9B"/>
    <w:rsid w:val="00963935"/>
    <w:rsid w:val="00965299"/>
    <w:rsid w:val="0096632B"/>
    <w:rsid w:val="009666AC"/>
    <w:rsid w:val="00966D06"/>
    <w:rsid w:val="00967012"/>
    <w:rsid w:val="00967C22"/>
    <w:rsid w:val="009703BD"/>
    <w:rsid w:val="009721AC"/>
    <w:rsid w:val="009737D4"/>
    <w:rsid w:val="00973F31"/>
    <w:rsid w:val="00974279"/>
    <w:rsid w:val="00974EDA"/>
    <w:rsid w:val="00980A01"/>
    <w:rsid w:val="0098318C"/>
    <w:rsid w:val="00984342"/>
    <w:rsid w:val="009862F1"/>
    <w:rsid w:val="00987803"/>
    <w:rsid w:val="00993362"/>
    <w:rsid w:val="00994B06"/>
    <w:rsid w:val="009964C2"/>
    <w:rsid w:val="009A4CF7"/>
    <w:rsid w:val="009A6321"/>
    <w:rsid w:val="009A763A"/>
    <w:rsid w:val="009B13AA"/>
    <w:rsid w:val="009B3535"/>
    <w:rsid w:val="009B3A36"/>
    <w:rsid w:val="009B41C4"/>
    <w:rsid w:val="009B4462"/>
    <w:rsid w:val="009B469C"/>
    <w:rsid w:val="009B4FF1"/>
    <w:rsid w:val="009B58A5"/>
    <w:rsid w:val="009C0A0A"/>
    <w:rsid w:val="009C2413"/>
    <w:rsid w:val="009C2AA6"/>
    <w:rsid w:val="009C4603"/>
    <w:rsid w:val="009C4644"/>
    <w:rsid w:val="009C466C"/>
    <w:rsid w:val="009C6F3E"/>
    <w:rsid w:val="009D0EFF"/>
    <w:rsid w:val="009D10A7"/>
    <w:rsid w:val="009D2DF0"/>
    <w:rsid w:val="009D3D25"/>
    <w:rsid w:val="009D5FD7"/>
    <w:rsid w:val="009D65A8"/>
    <w:rsid w:val="009D6708"/>
    <w:rsid w:val="009E68CE"/>
    <w:rsid w:val="009E7575"/>
    <w:rsid w:val="009F0981"/>
    <w:rsid w:val="009F2FF2"/>
    <w:rsid w:val="009F42F7"/>
    <w:rsid w:val="009F45CA"/>
    <w:rsid w:val="009F5F45"/>
    <w:rsid w:val="009F6389"/>
    <w:rsid w:val="00A00CA6"/>
    <w:rsid w:val="00A04363"/>
    <w:rsid w:val="00A05296"/>
    <w:rsid w:val="00A05CAD"/>
    <w:rsid w:val="00A065E8"/>
    <w:rsid w:val="00A06CD0"/>
    <w:rsid w:val="00A12203"/>
    <w:rsid w:val="00A2043C"/>
    <w:rsid w:val="00A21AA9"/>
    <w:rsid w:val="00A25193"/>
    <w:rsid w:val="00A252A8"/>
    <w:rsid w:val="00A2608A"/>
    <w:rsid w:val="00A271A7"/>
    <w:rsid w:val="00A30B95"/>
    <w:rsid w:val="00A30E0D"/>
    <w:rsid w:val="00A364F1"/>
    <w:rsid w:val="00A3738F"/>
    <w:rsid w:val="00A37A34"/>
    <w:rsid w:val="00A40FDC"/>
    <w:rsid w:val="00A41A85"/>
    <w:rsid w:val="00A4246F"/>
    <w:rsid w:val="00A43471"/>
    <w:rsid w:val="00A45604"/>
    <w:rsid w:val="00A474EF"/>
    <w:rsid w:val="00A47C3A"/>
    <w:rsid w:val="00A53861"/>
    <w:rsid w:val="00A53C90"/>
    <w:rsid w:val="00A53FDC"/>
    <w:rsid w:val="00A60A1D"/>
    <w:rsid w:val="00A615C9"/>
    <w:rsid w:val="00A622F1"/>
    <w:rsid w:val="00A62FFC"/>
    <w:rsid w:val="00A659E2"/>
    <w:rsid w:val="00A674FC"/>
    <w:rsid w:val="00A67D4B"/>
    <w:rsid w:val="00A71192"/>
    <w:rsid w:val="00A71475"/>
    <w:rsid w:val="00A729DC"/>
    <w:rsid w:val="00A74EF6"/>
    <w:rsid w:val="00A7604C"/>
    <w:rsid w:val="00A775BA"/>
    <w:rsid w:val="00A83836"/>
    <w:rsid w:val="00A842EE"/>
    <w:rsid w:val="00A8626A"/>
    <w:rsid w:val="00A90D26"/>
    <w:rsid w:val="00A938B7"/>
    <w:rsid w:val="00A94288"/>
    <w:rsid w:val="00A967FD"/>
    <w:rsid w:val="00AA2A1E"/>
    <w:rsid w:val="00AA6DA8"/>
    <w:rsid w:val="00AB19E4"/>
    <w:rsid w:val="00AB1BE4"/>
    <w:rsid w:val="00AB1E12"/>
    <w:rsid w:val="00AB1EEE"/>
    <w:rsid w:val="00AB358A"/>
    <w:rsid w:val="00AB47A8"/>
    <w:rsid w:val="00AB7103"/>
    <w:rsid w:val="00AC09D8"/>
    <w:rsid w:val="00AC0BED"/>
    <w:rsid w:val="00AC17A1"/>
    <w:rsid w:val="00AC2081"/>
    <w:rsid w:val="00AC2D21"/>
    <w:rsid w:val="00AC53D8"/>
    <w:rsid w:val="00AD2167"/>
    <w:rsid w:val="00AD271B"/>
    <w:rsid w:val="00AD37D8"/>
    <w:rsid w:val="00AD43C4"/>
    <w:rsid w:val="00AD55F8"/>
    <w:rsid w:val="00AD6277"/>
    <w:rsid w:val="00AD6772"/>
    <w:rsid w:val="00AD773E"/>
    <w:rsid w:val="00AD7FCD"/>
    <w:rsid w:val="00AE119A"/>
    <w:rsid w:val="00AE124D"/>
    <w:rsid w:val="00AE1A25"/>
    <w:rsid w:val="00AE397C"/>
    <w:rsid w:val="00AE3DB1"/>
    <w:rsid w:val="00AE7FB4"/>
    <w:rsid w:val="00AF2C68"/>
    <w:rsid w:val="00AF4C45"/>
    <w:rsid w:val="00AF6A0A"/>
    <w:rsid w:val="00B03D5E"/>
    <w:rsid w:val="00B04BE5"/>
    <w:rsid w:val="00B05484"/>
    <w:rsid w:val="00B05592"/>
    <w:rsid w:val="00B057E1"/>
    <w:rsid w:val="00B07C05"/>
    <w:rsid w:val="00B13876"/>
    <w:rsid w:val="00B13CB9"/>
    <w:rsid w:val="00B17B5A"/>
    <w:rsid w:val="00B2022F"/>
    <w:rsid w:val="00B2574D"/>
    <w:rsid w:val="00B25A00"/>
    <w:rsid w:val="00B25F3A"/>
    <w:rsid w:val="00B26624"/>
    <w:rsid w:val="00B27036"/>
    <w:rsid w:val="00B27169"/>
    <w:rsid w:val="00B27D62"/>
    <w:rsid w:val="00B32170"/>
    <w:rsid w:val="00B32291"/>
    <w:rsid w:val="00B35EC4"/>
    <w:rsid w:val="00B367E9"/>
    <w:rsid w:val="00B40104"/>
    <w:rsid w:val="00B40C9B"/>
    <w:rsid w:val="00B4128B"/>
    <w:rsid w:val="00B425B8"/>
    <w:rsid w:val="00B43F57"/>
    <w:rsid w:val="00B444E9"/>
    <w:rsid w:val="00B4511A"/>
    <w:rsid w:val="00B503BA"/>
    <w:rsid w:val="00B5368F"/>
    <w:rsid w:val="00B54AA1"/>
    <w:rsid w:val="00B56082"/>
    <w:rsid w:val="00B6013E"/>
    <w:rsid w:val="00B6259F"/>
    <w:rsid w:val="00B629B1"/>
    <w:rsid w:val="00B62AD9"/>
    <w:rsid w:val="00B63FC5"/>
    <w:rsid w:val="00B709A7"/>
    <w:rsid w:val="00B714FB"/>
    <w:rsid w:val="00B71F3A"/>
    <w:rsid w:val="00B73D77"/>
    <w:rsid w:val="00B75A24"/>
    <w:rsid w:val="00B75D20"/>
    <w:rsid w:val="00B7705F"/>
    <w:rsid w:val="00B817E4"/>
    <w:rsid w:val="00B86AEF"/>
    <w:rsid w:val="00B86FBA"/>
    <w:rsid w:val="00B873A3"/>
    <w:rsid w:val="00B9240C"/>
    <w:rsid w:val="00B94F72"/>
    <w:rsid w:val="00B96FEB"/>
    <w:rsid w:val="00B97F7C"/>
    <w:rsid w:val="00BA2B64"/>
    <w:rsid w:val="00BA5571"/>
    <w:rsid w:val="00BA5755"/>
    <w:rsid w:val="00BA5764"/>
    <w:rsid w:val="00BA5787"/>
    <w:rsid w:val="00BA640A"/>
    <w:rsid w:val="00BA776E"/>
    <w:rsid w:val="00BB20B9"/>
    <w:rsid w:val="00BB4142"/>
    <w:rsid w:val="00BB516B"/>
    <w:rsid w:val="00BB5B5D"/>
    <w:rsid w:val="00BC1C65"/>
    <w:rsid w:val="00BC1F22"/>
    <w:rsid w:val="00BC5393"/>
    <w:rsid w:val="00BC5B7B"/>
    <w:rsid w:val="00BC6212"/>
    <w:rsid w:val="00BC6E03"/>
    <w:rsid w:val="00BC7926"/>
    <w:rsid w:val="00BC7D6D"/>
    <w:rsid w:val="00BD0DFB"/>
    <w:rsid w:val="00BD203B"/>
    <w:rsid w:val="00BD2176"/>
    <w:rsid w:val="00BD243A"/>
    <w:rsid w:val="00BD2700"/>
    <w:rsid w:val="00BD2785"/>
    <w:rsid w:val="00BD679E"/>
    <w:rsid w:val="00BE198D"/>
    <w:rsid w:val="00BE1B7F"/>
    <w:rsid w:val="00BE23C3"/>
    <w:rsid w:val="00BE34FA"/>
    <w:rsid w:val="00BE3D8B"/>
    <w:rsid w:val="00C00A38"/>
    <w:rsid w:val="00C0335D"/>
    <w:rsid w:val="00C03C4A"/>
    <w:rsid w:val="00C05C55"/>
    <w:rsid w:val="00C11124"/>
    <w:rsid w:val="00C1552C"/>
    <w:rsid w:val="00C1719B"/>
    <w:rsid w:val="00C209AE"/>
    <w:rsid w:val="00C2171B"/>
    <w:rsid w:val="00C222DD"/>
    <w:rsid w:val="00C22B5B"/>
    <w:rsid w:val="00C235B6"/>
    <w:rsid w:val="00C23F35"/>
    <w:rsid w:val="00C23F96"/>
    <w:rsid w:val="00C25BF0"/>
    <w:rsid w:val="00C279EE"/>
    <w:rsid w:val="00C32669"/>
    <w:rsid w:val="00C33B6D"/>
    <w:rsid w:val="00C40B4B"/>
    <w:rsid w:val="00C40FCD"/>
    <w:rsid w:val="00C419A9"/>
    <w:rsid w:val="00C45145"/>
    <w:rsid w:val="00C45640"/>
    <w:rsid w:val="00C469D9"/>
    <w:rsid w:val="00C50962"/>
    <w:rsid w:val="00C50978"/>
    <w:rsid w:val="00C50BD6"/>
    <w:rsid w:val="00C50FBD"/>
    <w:rsid w:val="00C545E9"/>
    <w:rsid w:val="00C55AB5"/>
    <w:rsid w:val="00C562FA"/>
    <w:rsid w:val="00C62482"/>
    <w:rsid w:val="00C62DEF"/>
    <w:rsid w:val="00C63F56"/>
    <w:rsid w:val="00C643C8"/>
    <w:rsid w:val="00C65039"/>
    <w:rsid w:val="00C6562E"/>
    <w:rsid w:val="00C663C4"/>
    <w:rsid w:val="00C66B99"/>
    <w:rsid w:val="00C67579"/>
    <w:rsid w:val="00C675D6"/>
    <w:rsid w:val="00C67634"/>
    <w:rsid w:val="00C6793E"/>
    <w:rsid w:val="00C70288"/>
    <w:rsid w:val="00C70496"/>
    <w:rsid w:val="00C7294D"/>
    <w:rsid w:val="00C74757"/>
    <w:rsid w:val="00C7675A"/>
    <w:rsid w:val="00C76D1D"/>
    <w:rsid w:val="00C7D495"/>
    <w:rsid w:val="00C806AD"/>
    <w:rsid w:val="00C83FCA"/>
    <w:rsid w:val="00C84005"/>
    <w:rsid w:val="00C841CE"/>
    <w:rsid w:val="00C84353"/>
    <w:rsid w:val="00C84A27"/>
    <w:rsid w:val="00C86401"/>
    <w:rsid w:val="00C90017"/>
    <w:rsid w:val="00C91FBB"/>
    <w:rsid w:val="00C9583E"/>
    <w:rsid w:val="00C978E3"/>
    <w:rsid w:val="00C97BD1"/>
    <w:rsid w:val="00CA0EAF"/>
    <w:rsid w:val="00CA12E7"/>
    <w:rsid w:val="00CA34F6"/>
    <w:rsid w:val="00CA7195"/>
    <w:rsid w:val="00CA72FE"/>
    <w:rsid w:val="00CB139D"/>
    <w:rsid w:val="00CB3729"/>
    <w:rsid w:val="00CB4531"/>
    <w:rsid w:val="00CB7067"/>
    <w:rsid w:val="00CC02CE"/>
    <w:rsid w:val="00CC19E9"/>
    <w:rsid w:val="00CC22F9"/>
    <w:rsid w:val="00CC387C"/>
    <w:rsid w:val="00CC4F57"/>
    <w:rsid w:val="00CC5052"/>
    <w:rsid w:val="00CC50EC"/>
    <w:rsid w:val="00CC56B4"/>
    <w:rsid w:val="00CC7124"/>
    <w:rsid w:val="00CC7FF5"/>
    <w:rsid w:val="00CD0107"/>
    <w:rsid w:val="00CD0764"/>
    <w:rsid w:val="00CD222B"/>
    <w:rsid w:val="00CD2311"/>
    <w:rsid w:val="00CD3231"/>
    <w:rsid w:val="00CD3EE7"/>
    <w:rsid w:val="00CD498C"/>
    <w:rsid w:val="00CD7314"/>
    <w:rsid w:val="00CD73B7"/>
    <w:rsid w:val="00CE09F3"/>
    <w:rsid w:val="00CE0BA2"/>
    <w:rsid w:val="00CE103F"/>
    <w:rsid w:val="00CE3E67"/>
    <w:rsid w:val="00CE41AF"/>
    <w:rsid w:val="00CE4907"/>
    <w:rsid w:val="00CE50DA"/>
    <w:rsid w:val="00CE511F"/>
    <w:rsid w:val="00CE5D8A"/>
    <w:rsid w:val="00CF18A3"/>
    <w:rsid w:val="00CF6C91"/>
    <w:rsid w:val="00CF7E7F"/>
    <w:rsid w:val="00D01EC8"/>
    <w:rsid w:val="00D03633"/>
    <w:rsid w:val="00D03E69"/>
    <w:rsid w:val="00D13198"/>
    <w:rsid w:val="00D135CD"/>
    <w:rsid w:val="00D14076"/>
    <w:rsid w:val="00D15381"/>
    <w:rsid w:val="00D16B6C"/>
    <w:rsid w:val="00D20793"/>
    <w:rsid w:val="00D20EC6"/>
    <w:rsid w:val="00D23A01"/>
    <w:rsid w:val="00D25BDF"/>
    <w:rsid w:val="00D25E65"/>
    <w:rsid w:val="00D265C2"/>
    <w:rsid w:val="00D33470"/>
    <w:rsid w:val="00D3449A"/>
    <w:rsid w:val="00D37738"/>
    <w:rsid w:val="00D43FC4"/>
    <w:rsid w:val="00D441A6"/>
    <w:rsid w:val="00D4462D"/>
    <w:rsid w:val="00D46AB5"/>
    <w:rsid w:val="00D47A1C"/>
    <w:rsid w:val="00D504C8"/>
    <w:rsid w:val="00D52F22"/>
    <w:rsid w:val="00D54D95"/>
    <w:rsid w:val="00D554FA"/>
    <w:rsid w:val="00D62152"/>
    <w:rsid w:val="00D625D9"/>
    <w:rsid w:val="00D627FE"/>
    <w:rsid w:val="00D63730"/>
    <w:rsid w:val="00D63A14"/>
    <w:rsid w:val="00D64B6C"/>
    <w:rsid w:val="00D744E9"/>
    <w:rsid w:val="00D76589"/>
    <w:rsid w:val="00D76C3F"/>
    <w:rsid w:val="00D773FC"/>
    <w:rsid w:val="00D8101C"/>
    <w:rsid w:val="00D8231E"/>
    <w:rsid w:val="00D848E0"/>
    <w:rsid w:val="00D8602E"/>
    <w:rsid w:val="00D86708"/>
    <w:rsid w:val="00D86C05"/>
    <w:rsid w:val="00D9192D"/>
    <w:rsid w:val="00D936DE"/>
    <w:rsid w:val="00D94C13"/>
    <w:rsid w:val="00DA661E"/>
    <w:rsid w:val="00DB2DC1"/>
    <w:rsid w:val="00DB471C"/>
    <w:rsid w:val="00DB6E4D"/>
    <w:rsid w:val="00DB73C9"/>
    <w:rsid w:val="00DB7FAE"/>
    <w:rsid w:val="00DC353C"/>
    <w:rsid w:val="00DC35D4"/>
    <w:rsid w:val="00DC730C"/>
    <w:rsid w:val="00DD2924"/>
    <w:rsid w:val="00DD35A4"/>
    <w:rsid w:val="00DD3AE1"/>
    <w:rsid w:val="00DD413F"/>
    <w:rsid w:val="00DE0648"/>
    <w:rsid w:val="00DE1589"/>
    <w:rsid w:val="00DE2081"/>
    <w:rsid w:val="00DE2ECB"/>
    <w:rsid w:val="00DE2F3A"/>
    <w:rsid w:val="00DE33A3"/>
    <w:rsid w:val="00DE5288"/>
    <w:rsid w:val="00DE60F2"/>
    <w:rsid w:val="00DF1D14"/>
    <w:rsid w:val="00DF4164"/>
    <w:rsid w:val="00DF4191"/>
    <w:rsid w:val="00DF42CF"/>
    <w:rsid w:val="00DF4607"/>
    <w:rsid w:val="00DF4FAE"/>
    <w:rsid w:val="00DF604B"/>
    <w:rsid w:val="00DF74E0"/>
    <w:rsid w:val="00E0052B"/>
    <w:rsid w:val="00E0417B"/>
    <w:rsid w:val="00E0763C"/>
    <w:rsid w:val="00E1162B"/>
    <w:rsid w:val="00E12A80"/>
    <w:rsid w:val="00E12F3D"/>
    <w:rsid w:val="00E1472E"/>
    <w:rsid w:val="00E151F6"/>
    <w:rsid w:val="00E16C44"/>
    <w:rsid w:val="00E17528"/>
    <w:rsid w:val="00E26E4E"/>
    <w:rsid w:val="00E329EC"/>
    <w:rsid w:val="00E33EF7"/>
    <w:rsid w:val="00E37747"/>
    <w:rsid w:val="00E40470"/>
    <w:rsid w:val="00E437C6"/>
    <w:rsid w:val="00E46FE8"/>
    <w:rsid w:val="00E47EDD"/>
    <w:rsid w:val="00E50BBC"/>
    <w:rsid w:val="00E50F8A"/>
    <w:rsid w:val="00E5286F"/>
    <w:rsid w:val="00E52BF7"/>
    <w:rsid w:val="00E5651C"/>
    <w:rsid w:val="00E57773"/>
    <w:rsid w:val="00E6496E"/>
    <w:rsid w:val="00E64D43"/>
    <w:rsid w:val="00E71FC3"/>
    <w:rsid w:val="00E72133"/>
    <w:rsid w:val="00E72A8A"/>
    <w:rsid w:val="00E73025"/>
    <w:rsid w:val="00E73830"/>
    <w:rsid w:val="00E74505"/>
    <w:rsid w:val="00E76825"/>
    <w:rsid w:val="00E77B3F"/>
    <w:rsid w:val="00E810C6"/>
    <w:rsid w:val="00E82597"/>
    <w:rsid w:val="00E844B2"/>
    <w:rsid w:val="00E84D3D"/>
    <w:rsid w:val="00E86964"/>
    <w:rsid w:val="00E9052C"/>
    <w:rsid w:val="00E921D5"/>
    <w:rsid w:val="00E9677C"/>
    <w:rsid w:val="00EA3196"/>
    <w:rsid w:val="00EA7CBC"/>
    <w:rsid w:val="00EB0A79"/>
    <w:rsid w:val="00EB3BE1"/>
    <w:rsid w:val="00EB56A9"/>
    <w:rsid w:val="00EB64CA"/>
    <w:rsid w:val="00EB6989"/>
    <w:rsid w:val="00EB6C17"/>
    <w:rsid w:val="00EB73BA"/>
    <w:rsid w:val="00EC05B0"/>
    <w:rsid w:val="00EC37A4"/>
    <w:rsid w:val="00EC435A"/>
    <w:rsid w:val="00EC4E45"/>
    <w:rsid w:val="00EC7084"/>
    <w:rsid w:val="00EC7DCE"/>
    <w:rsid w:val="00ED206D"/>
    <w:rsid w:val="00ED657D"/>
    <w:rsid w:val="00ED7FFA"/>
    <w:rsid w:val="00EE1B3A"/>
    <w:rsid w:val="00EE24ED"/>
    <w:rsid w:val="00EE4DEB"/>
    <w:rsid w:val="00EF2104"/>
    <w:rsid w:val="00EF23E7"/>
    <w:rsid w:val="00EF38A1"/>
    <w:rsid w:val="00EF4436"/>
    <w:rsid w:val="00EF45F3"/>
    <w:rsid w:val="00EF69CB"/>
    <w:rsid w:val="00F0007C"/>
    <w:rsid w:val="00F0043B"/>
    <w:rsid w:val="00F0239A"/>
    <w:rsid w:val="00F02A04"/>
    <w:rsid w:val="00F066B4"/>
    <w:rsid w:val="00F07D44"/>
    <w:rsid w:val="00F07FC8"/>
    <w:rsid w:val="00F134BC"/>
    <w:rsid w:val="00F1432F"/>
    <w:rsid w:val="00F15FAD"/>
    <w:rsid w:val="00F15FB3"/>
    <w:rsid w:val="00F2052D"/>
    <w:rsid w:val="00F21957"/>
    <w:rsid w:val="00F23AC3"/>
    <w:rsid w:val="00F2450A"/>
    <w:rsid w:val="00F248FC"/>
    <w:rsid w:val="00F24B06"/>
    <w:rsid w:val="00F24B29"/>
    <w:rsid w:val="00F24CE1"/>
    <w:rsid w:val="00F24D83"/>
    <w:rsid w:val="00F25EA7"/>
    <w:rsid w:val="00F25F8C"/>
    <w:rsid w:val="00F269F3"/>
    <w:rsid w:val="00F273C2"/>
    <w:rsid w:val="00F3074A"/>
    <w:rsid w:val="00F3160E"/>
    <w:rsid w:val="00F335A5"/>
    <w:rsid w:val="00F34569"/>
    <w:rsid w:val="00F40C60"/>
    <w:rsid w:val="00F42984"/>
    <w:rsid w:val="00F46749"/>
    <w:rsid w:val="00F47279"/>
    <w:rsid w:val="00F51169"/>
    <w:rsid w:val="00F5241B"/>
    <w:rsid w:val="00F54D22"/>
    <w:rsid w:val="00F54DDD"/>
    <w:rsid w:val="00F55AA1"/>
    <w:rsid w:val="00F61A80"/>
    <w:rsid w:val="00F63203"/>
    <w:rsid w:val="00F64F2B"/>
    <w:rsid w:val="00F652BC"/>
    <w:rsid w:val="00F72B90"/>
    <w:rsid w:val="00F741B5"/>
    <w:rsid w:val="00F74A0D"/>
    <w:rsid w:val="00F75DAE"/>
    <w:rsid w:val="00F761AB"/>
    <w:rsid w:val="00F8409D"/>
    <w:rsid w:val="00F87E7A"/>
    <w:rsid w:val="00F90AEA"/>
    <w:rsid w:val="00F910D3"/>
    <w:rsid w:val="00F91DE2"/>
    <w:rsid w:val="00F94A0E"/>
    <w:rsid w:val="00F953A7"/>
    <w:rsid w:val="00F957FB"/>
    <w:rsid w:val="00F959C0"/>
    <w:rsid w:val="00FA088D"/>
    <w:rsid w:val="00FA52EE"/>
    <w:rsid w:val="00FA6394"/>
    <w:rsid w:val="00FA77D8"/>
    <w:rsid w:val="00FB125C"/>
    <w:rsid w:val="00FB14E9"/>
    <w:rsid w:val="00FB45AF"/>
    <w:rsid w:val="00FB6823"/>
    <w:rsid w:val="00FC1220"/>
    <w:rsid w:val="00FC2EE0"/>
    <w:rsid w:val="00FC3E9C"/>
    <w:rsid w:val="00FC4448"/>
    <w:rsid w:val="00FC6E08"/>
    <w:rsid w:val="00FC6E36"/>
    <w:rsid w:val="00FD0DF3"/>
    <w:rsid w:val="00FD0F82"/>
    <w:rsid w:val="00FD1952"/>
    <w:rsid w:val="00FD1C6C"/>
    <w:rsid w:val="00FD2AB5"/>
    <w:rsid w:val="00FD52EA"/>
    <w:rsid w:val="00FD6B25"/>
    <w:rsid w:val="00FE0638"/>
    <w:rsid w:val="00FE134A"/>
    <w:rsid w:val="00FE1F8E"/>
    <w:rsid w:val="00FE4A2C"/>
    <w:rsid w:val="00FE4A98"/>
    <w:rsid w:val="00FE587E"/>
    <w:rsid w:val="00FE64FE"/>
    <w:rsid w:val="00FF07AE"/>
    <w:rsid w:val="00FF19FB"/>
    <w:rsid w:val="00FF58D8"/>
    <w:rsid w:val="00FF741B"/>
    <w:rsid w:val="013C5D44"/>
    <w:rsid w:val="0258C1D6"/>
    <w:rsid w:val="02BF81A8"/>
    <w:rsid w:val="0346BE30"/>
    <w:rsid w:val="0381CFDC"/>
    <w:rsid w:val="0527BD3F"/>
    <w:rsid w:val="0752A8F0"/>
    <w:rsid w:val="07FADE5A"/>
    <w:rsid w:val="086C2A1A"/>
    <w:rsid w:val="09FF4BB4"/>
    <w:rsid w:val="0AB39038"/>
    <w:rsid w:val="0BD336FA"/>
    <w:rsid w:val="0BF5A9AC"/>
    <w:rsid w:val="0E51D30D"/>
    <w:rsid w:val="102C8D84"/>
    <w:rsid w:val="108C9A5F"/>
    <w:rsid w:val="10A7E565"/>
    <w:rsid w:val="10EC64A9"/>
    <w:rsid w:val="117048EA"/>
    <w:rsid w:val="1240F849"/>
    <w:rsid w:val="12419AF5"/>
    <w:rsid w:val="1253C3C2"/>
    <w:rsid w:val="14B3EFEF"/>
    <w:rsid w:val="1611EF08"/>
    <w:rsid w:val="18A0568B"/>
    <w:rsid w:val="1B795C87"/>
    <w:rsid w:val="1C7556A6"/>
    <w:rsid w:val="1E29ED5E"/>
    <w:rsid w:val="1E4CBF24"/>
    <w:rsid w:val="1F35BC22"/>
    <w:rsid w:val="1F429550"/>
    <w:rsid w:val="1F6D8D25"/>
    <w:rsid w:val="1FE12368"/>
    <w:rsid w:val="224C826E"/>
    <w:rsid w:val="231299D5"/>
    <w:rsid w:val="23C2161A"/>
    <w:rsid w:val="257616ED"/>
    <w:rsid w:val="2672C07F"/>
    <w:rsid w:val="267335E4"/>
    <w:rsid w:val="27729C09"/>
    <w:rsid w:val="2800348D"/>
    <w:rsid w:val="2A589D1F"/>
    <w:rsid w:val="2A84C87F"/>
    <w:rsid w:val="311A4192"/>
    <w:rsid w:val="31387B43"/>
    <w:rsid w:val="31FBCF51"/>
    <w:rsid w:val="3321186C"/>
    <w:rsid w:val="35460620"/>
    <w:rsid w:val="359949E6"/>
    <w:rsid w:val="35FC425D"/>
    <w:rsid w:val="36B9926D"/>
    <w:rsid w:val="36E597B2"/>
    <w:rsid w:val="37B21169"/>
    <w:rsid w:val="37EAFC33"/>
    <w:rsid w:val="3894A98E"/>
    <w:rsid w:val="39AB996C"/>
    <w:rsid w:val="39DFCB3A"/>
    <w:rsid w:val="3A105CB3"/>
    <w:rsid w:val="3AE0366E"/>
    <w:rsid w:val="3AE2A8B5"/>
    <w:rsid w:val="3B213D71"/>
    <w:rsid w:val="3B54E137"/>
    <w:rsid w:val="3BD6166B"/>
    <w:rsid w:val="3BDB8521"/>
    <w:rsid w:val="3BDC79F4"/>
    <w:rsid w:val="3BE105D6"/>
    <w:rsid w:val="3CA88ABE"/>
    <w:rsid w:val="3F21CE65"/>
    <w:rsid w:val="3F67BE59"/>
    <w:rsid w:val="40629EE9"/>
    <w:rsid w:val="4099158A"/>
    <w:rsid w:val="41021D6F"/>
    <w:rsid w:val="431CDE7D"/>
    <w:rsid w:val="43E53AFF"/>
    <w:rsid w:val="440106C6"/>
    <w:rsid w:val="4417271F"/>
    <w:rsid w:val="45647C5F"/>
    <w:rsid w:val="456BE292"/>
    <w:rsid w:val="47CAF487"/>
    <w:rsid w:val="48A14EE3"/>
    <w:rsid w:val="4A22E237"/>
    <w:rsid w:val="4A74D6D4"/>
    <w:rsid w:val="4C071546"/>
    <w:rsid w:val="4F2CD48C"/>
    <w:rsid w:val="4F8159DF"/>
    <w:rsid w:val="4FAB0B90"/>
    <w:rsid w:val="5043C90E"/>
    <w:rsid w:val="504E6D8F"/>
    <w:rsid w:val="5077D524"/>
    <w:rsid w:val="50A4F1BE"/>
    <w:rsid w:val="50CA25C4"/>
    <w:rsid w:val="50E1DEF9"/>
    <w:rsid w:val="51564DE2"/>
    <w:rsid w:val="51A45A77"/>
    <w:rsid w:val="53279AC5"/>
    <w:rsid w:val="55CC8E78"/>
    <w:rsid w:val="56A23C0A"/>
    <w:rsid w:val="571F1D49"/>
    <w:rsid w:val="58D5A05E"/>
    <w:rsid w:val="5B501B92"/>
    <w:rsid w:val="5B61778F"/>
    <w:rsid w:val="5E5AF259"/>
    <w:rsid w:val="604D9FC8"/>
    <w:rsid w:val="611A2161"/>
    <w:rsid w:val="616A3A3B"/>
    <w:rsid w:val="61ADA020"/>
    <w:rsid w:val="61E066D9"/>
    <w:rsid w:val="62483A69"/>
    <w:rsid w:val="62710BE2"/>
    <w:rsid w:val="62C389A3"/>
    <w:rsid w:val="631FA141"/>
    <w:rsid w:val="684655DB"/>
    <w:rsid w:val="69985A34"/>
    <w:rsid w:val="6B267EF5"/>
    <w:rsid w:val="6B9298CE"/>
    <w:rsid w:val="6CA63537"/>
    <w:rsid w:val="6D3B5106"/>
    <w:rsid w:val="6D3BAD90"/>
    <w:rsid w:val="6D47D795"/>
    <w:rsid w:val="6E293C6E"/>
    <w:rsid w:val="71016DF4"/>
    <w:rsid w:val="71D158D7"/>
    <w:rsid w:val="72903398"/>
    <w:rsid w:val="72CCCAF4"/>
    <w:rsid w:val="74B8E99A"/>
    <w:rsid w:val="74FE548E"/>
    <w:rsid w:val="7661B7BE"/>
    <w:rsid w:val="790946D4"/>
    <w:rsid w:val="793C1523"/>
    <w:rsid w:val="7979EBE4"/>
    <w:rsid w:val="79A08E6E"/>
    <w:rsid w:val="7A0699B4"/>
    <w:rsid w:val="7D44E09B"/>
    <w:rsid w:val="7E77619D"/>
    <w:rsid w:val="7EEAFCC3"/>
    <w:rsid w:val="7FA40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0D6412"/>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0D641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0D6412"/>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58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5C"/>
  </w:style>
  <w:style w:type="character" w:customStyle="1" w:styleId="Heading1Char">
    <w:name w:val="Heading 1 Char"/>
    <w:aliases w:val="Subhead 01 Char"/>
    <w:link w:val="Heading1"/>
    <w:rsid w:val="000D6412"/>
    <w:rPr>
      <w:b/>
      <w:bCs/>
      <w:sz w:val="40"/>
      <w:szCs w:val="120"/>
    </w:rPr>
  </w:style>
  <w:style w:type="character" w:customStyle="1" w:styleId="Heading2Char">
    <w:name w:val="Heading 2 Char"/>
    <w:aliases w:val="Subhead 02 Char"/>
    <w:link w:val="Heading2"/>
    <w:rsid w:val="000D6412"/>
    <w:rPr>
      <w:b/>
      <w:bCs/>
      <w:color w:val="000000" w:themeColor="text1"/>
      <w:sz w:val="32"/>
      <w:szCs w:val="32"/>
    </w:rPr>
  </w:style>
  <w:style w:type="character" w:customStyle="1" w:styleId="Heading3Char">
    <w:name w:val="Heading 3 Char"/>
    <w:aliases w:val="Subhead 03 Char"/>
    <w:link w:val="Heading3"/>
    <w:rsid w:val="000D6412"/>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581C5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qFormat/>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581C5C"/>
    <w:pPr>
      <w:spacing w:after="80" w:line="240" w:lineRule="auto"/>
    </w:pPr>
    <w:rPr>
      <w:lang w:val="en-US"/>
    </w:rPr>
  </w:style>
  <w:style w:type="paragraph" w:customStyle="1" w:styleId="PullQuote">
    <w:name w:val="Pull Quote"/>
    <w:basedOn w:val="BodyText1"/>
    <w:qFormat/>
    <w:rsid w:val="009251A1"/>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unhideWhenUsed/>
    <w:rsid w:val="00A40FDC"/>
    <w:pPr>
      <w:spacing w:after="0"/>
    </w:pPr>
  </w:style>
  <w:style w:type="paragraph" w:styleId="Caption">
    <w:name w:val="caption"/>
    <w:basedOn w:val="Normal"/>
    <w:next w:val="Normal"/>
    <w:uiPriority w:val="35"/>
    <w:unhideWhenUsed/>
    <w:qFormat/>
    <w:rsid w:val="00581C5C"/>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581C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581C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581C5C"/>
    <w:pPr>
      <w:jc w:val="left"/>
    </w:pPr>
    <w:rPr>
      <w:rFonts w:asciiTheme="minorHAnsi" w:hAnsiTheme="minorHAnsi"/>
    </w:rPr>
  </w:style>
  <w:style w:type="character" w:customStyle="1" w:styleId="bodytextChar">
    <w:name w:val="body text Char"/>
    <w:basedOn w:val="DefaultParagraphFont"/>
    <w:link w:val="BodyText1"/>
    <w:rsid w:val="00581C5C"/>
    <w:rPr>
      <w:rFonts w:asciiTheme="minorHAnsi" w:hAnsiTheme="minorHAnsi"/>
    </w:rPr>
  </w:style>
  <w:style w:type="paragraph" w:styleId="BodyText">
    <w:name w:val="Body Text"/>
    <w:basedOn w:val="Normal"/>
    <w:link w:val="BodyTextChar0"/>
    <w:unhideWhenUsed/>
    <w:rsid w:val="006B68CB"/>
    <w:rPr>
      <w:rFonts w:asciiTheme="minorHAnsi" w:hAnsiTheme="minorHAnsi"/>
    </w:rPr>
  </w:style>
  <w:style w:type="character" w:customStyle="1" w:styleId="BodyTextChar0">
    <w:name w:val="Body Text Char"/>
    <w:basedOn w:val="DefaultParagraphFont"/>
    <w:link w:val="BodyText"/>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81C5C"/>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581C5C"/>
    <w:rPr>
      <w:rFonts w:ascii="Antonio" w:hAnsi="Antonio"/>
      <w:b/>
      <w:bCs/>
      <w:caps/>
      <w:sz w:val="72"/>
      <w:szCs w:val="72"/>
    </w:rPr>
  </w:style>
  <w:style w:type="paragraph" w:customStyle="1" w:styleId="CoverPageDescription">
    <w:name w:val="Cover Page Description"/>
    <w:basedOn w:val="Normal"/>
    <w:qFormat/>
    <w:rsid w:val="00581C5C"/>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581C5C"/>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0D6412"/>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67118D"/>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920C9B"/>
    <w:rPr>
      <w:color w:val="636669" w:themeColor="followedHyperlink"/>
      <w:u w:val="single"/>
    </w:rPr>
  </w:style>
  <w:style w:type="character" w:styleId="UnresolvedMention">
    <w:name w:val="Unresolved Mention"/>
    <w:basedOn w:val="DefaultParagraphFont"/>
    <w:uiPriority w:val="99"/>
    <w:semiHidden/>
    <w:unhideWhenUsed/>
    <w:rsid w:val="000107DE"/>
    <w:rPr>
      <w:color w:val="605E5C"/>
      <w:shd w:val="clear" w:color="auto" w:fill="E1DFDD"/>
    </w:rPr>
  </w:style>
  <w:style w:type="paragraph" w:styleId="BodyText2">
    <w:name w:val="Body Text 2"/>
    <w:basedOn w:val="Normal"/>
    <w:link w:val="BodyText2Char"/>
    <w:unhideWhenUsed/>
    <w:rsid w:val="00EC37A4"/>
    <w:pPr>
      <w:spacing w:line="480" w:lineRule="auto"/>
    </w:pPr>
  </w:style>
  <w:style w:type="character" w:customStyle="1" w:styleId="BodyText2Char">
    <w:name w:val="Body Text 2 Char"/>
    <w:basedOn w:val="DefaultParagraphFont"/>
    <w:link w:val="BodyText2"/>
    <w:rsid w:val="00EC37A4"/>
  </w:style>
  <w:style w:type="paragraph" w:styleId="Revision">
    <w:name w:val="Revision"/>
    <w:hidden/>
    <w:uiPriority w:val="99"/>
    <w:semiHidden/>
    <w:rsid w:val="00E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4550">
      <w:bodyDiv w:val="1"/>
      <w:marLeft w:val="0"/>
      <w:marRight w:val="0"/>
      <w:marTop w:val="0"/>
      <w:marBottom w:val="0"/>
      <w:divBdr>
        <w:top w:val="none" w:sz="0" w:space="0" w:color="auto"/>
        <w:left w:val="none" w:sz="0" w:space="0" w:color="auto"/>
        <w:bottom w:val="none" w:sz="0" w:space="0" w:color="auto"/>
        <w:right w:val="none" w:sz="0" w:space="0" w:color="auto"/>
      </w:divBdr>
    </w:div>
    <w:div w:id="113327646">
      <w:bodyDiv w:val="1"/>
      <w:marLeft w:val="0"/>
      <w:marRight w:val="0"/>
      <w:marTop w:val="0"/>
      <w:marBottom w:val="0"/>
      <w:divBdr>
        <w:top w:val="none" w:sz="0" w:space="0" w:color="auto"/>
        <w:left w:val="none" w:sz="0" w:space="0" w:color="auto"/>
        <w:bottom w:val="none" w:sz="0" w:space="0" w:color="auto"/>
        <w:right w:val="none" w:sz="0" w:space="0" w:color="auto"/>
      </w:divBdr>
    </w:div>
    <w:div w:id="167066045">
      <w:bodyDiv w:val="1"/>
      <w:marLeft w:val="0"/>
      <w:marRight w:val="0"/>
      <w:marTop w:val="0"/>
      <w:marBottom w:val="0"/>
      <w:divBdr>
        <w:top w:val="none" w:sz="0" w:space="0" w:color="auto"/>
        <w:left w:val="none" w:sz="0" w:space="0" w:color="auto"/>
        <w:bottom w:val="none" w:sz="0" w:space="0" w:color="auto"/>
        <w:right w:val="none" w:sz="0" w:space="0" w:color="auto"/>
      </w:divBdr>
    </w:div>
    <w:div w:id="228732590">
      <w:bodyDiv w:val="1"/>
      <w:marLeft w:val="0"/>
      <w:marRight w:val="0"/>
      <w:marTop w:val="0"/>
      <w:marBottom w:val="0"/>
      <w:divBdr>
        <w:top w:val="none" w:sz="0" w:space="0" w:color="auto"/>
        <w:left w:val="none" w:sz="0" w:space="0" w:color="auto"/>
        <w:bottom w:val="none" w:sz="0" w:space="0" w:color="auto"/>
        <w:right w:val="none" w:sz="0" w:space="0" w:color="auto"/>
      </w:divBdr>
    </w:div>
    <w:div w:id="263193011">
      <w:bodyDiv w:val="1"/>
      <w:marLeft w:val="0"/>
      <w:marRight w:val="0"/>
      <w:marTop w:val="0"/>
      <w:marBottom w:val="0"/>
      <w:divBdr>
        <w:top w:val="none" w:sz="0" w:space="0" w:color="auto"/>
        <w:left w:val="none" w:sz="0" w:space="0" w:color="auto"/>
        <w:bottom w:val="none" w:sz="0" w:space="0" w:color="auto"/>
        <w:right w:val="none" w:sz="0" w:space="0" w:color="auto"/>
      </w:divBdr>
    </w:div>
    <w:div w:id="331225528">
      <w:bodyDiv w:val="1"/>
      <w:marLeft w:val="0"/>
      <w:marRight w:val="0"/>
      <w:marTop w:val="0"/>
      <w:marBottom w:val="0"/>
      <w:divBdr>
        <w:top w:val="none" w:sz="0" w:space="0" w:color="auto"/>
        <w:left w:val="none" w:sz="0" w:space="0" w:color="auto"/>
        <w:bottom w:val="none" w:sz="0" w:space="0" w:color="auto"/>
        <w:right w:val="none" w:sz="0" w:space="0" w:color="auto"/>
      </w:divBdr>
    </w:div>
    <w:div w:id="422066713">
      <w:bodyDiv w:val="1"/>
      <w:marLeft w:val="0"/>
      <w:marRight w:val="0"/>
      <w:marTop w:val="0"/>
      <w:marBottom w:val="0"/>
      <w:divBdr>
        <w:top w:val="none" w:sz="0" w:space="0" w:color="auto"/>
        <w:left w:val="none" w:sz="0" w:space="0" w:color="auto"/>
        <w:bottom w:val="none" w:sz="0" w:space="0" w:color="auto"/>
        <w:right w:val="none" w:sz="0" w:space="0" w:color="auto"/>
      </w:divBdr>
    </w:div>
    <w:div w:id="508641527">
      <w:bodyDiv w:val="1"/>
      <w:marLeft w:val="0"/>
      <w:marRight w:val="0"/>
      <w:marTop w:val="0"/>
      <w:marBottom w:val="0"/>
      <w:divBdr>
        <w:top w:val="none" w:sz="0" w:space="0" w:color="auto"/>
        <w:left w:val="none" w:sz="0" w:space="0" w:color="auto"/>
        <w:bottom w:val="none" w:sz="0" w:space="0" w:color="auto"/>
        <w:right w:val="none" w:sz="0" w:space="0" w:color="auto"/>
      </w:divBdr>
    </w:div>
    <w:div w:id="550380678">
      <w:bodyDiv w:val="1"/>
      <w:marLeft w:val="0"/>
      <w:marRight w:val="0"/>
      <w:marTop w:val="0"/>
      <w:marBottom w:val="0"/>
      <w:divBdr>
        <w:top w:val="none" w:sz="0" w:space="0" w:color="auto"/>
        <w:left w:val="none" w:sz="0" w:space="0" w:color="auto"/>
        <w:bottom w:val="none" w:sz="0" w:space="0" w:color="auto"/>
        <w:right w:val="none" w:sz="0" w:space="0" w:color="auto"/>
      </w:divBdr>
    </w:div>
    <w:div w:id="563296337">
      <w:bodyDiv w:val="1"/>
      <w:marLeft w:val="0"/>
      <w:marRight w:val="0"/>
      <w:marTop w:val="0"/>
      <w:marBottom w:val="0"/>
      <w:divBdr>
        <w:top w:val="none" w:sz="0" w:space="0" w:color="auto"/>
        <w:left w:val="none" w:sz="0" w:space="0" w:color="auto"/>
        <w:bottom w:val="none" w:sz="0" w:space="0" w:color="auto"/>
        <w:right w:val="none" w:sz="0" w:space="0" w:color="auto"/>
      </w:divBdr>
      <w:divsChild>
        <w:div w:id="252129091">
          <w:marLeft w:val="0"/>
          <w:marRight w:val="0"/>
          <w:marTop w:val="0"/>
          <w:marBottom w:val="0"/>
          <w:divBdr>
            <w:top w:val="none" w:sz="0" w:space="0" w:color="auto"/>
            <w:left w:val="none" w:sz="0" w:space="0" w:color="auto"/>
            <w:bottom w:val="none" w:sz="0" w:space="0" w:color="auto"/>
            <w:right w:val="none" w:sz="0" w:space="0" w:color="auto"/>
          </w:divBdr>
          <w:divsChild>
            <w:div w:id="563029982">
              <w:marLeft w:val="0"/>
              <w:marRight w:val="0"/>
              <w:marTop w:val="0"/>
              <w:marBottom w:val="0"/>
              <w:divBdr>
                <w:top w:val="none" w:sz="0" w:space="0" w:color="auto"/>
                <w:left w:val="none" w:sz="0" w:space="0" w:color="auto"/>
                <w:bottom w:val="none" w:sz="0" w:space="0" w:color="auto"/>
                <w:right w:val="none" w:sz="0" w:space="0" w:color="auto"/>
              </w:divBdr>
              <w:divsChild>
                <w:div w:id="1682009076">
                  <w:marLeft w:val="0"/>
                  <w:marRight w:val="0"/>
                  <w:marTop w:val="0"/>
                  <w:marBottom w:val="0"/>
                  <w:divBdr>
                    <w:top w:val="none" w:sz="0" w:space="0" w:color="auto"/>
                    <w:left w:val="none" w:sz="0" w:space="0" w:color="auto"/>
                    <w:bottom w:val="none" w:sz="0" w:space="0" w:color="auto"/>
                    <w:right w:val="none" w:sz="0" w:space="0" w:color="auto"/>
                  </w:divBdr>
                  <w:divsChild>
                    <w:div w:id="15494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36451580">
      <w:bodyDiv w:val="1"/>
      <w:marLeft w:val="0"/>
      <w:marRight w:val="0"/>
      <w:marTop w:val="0"/>
      <w:marBottom w:val="0"/>
      <w:divBdr>
        <w:top w:val="none" w:sz="0" w:space="0" w:color="auto"/>
        <w:left w:val="none" w:sz="0" w:space="0" w:color="auto"/>
        <w:bottom w:val="none" w:sz="0" w:space="0" w:color="auto"/>
        <w:right w:val="none" w:sz="0" w:space="0" w:color="auto"/>
      </w:divBdr>
      <w:divsChild>
        <w:div w:id="326636269">
          <w:marLeft w:val="0"/>
          <w:marRight w:val="0"/>
          <w:marTop w:val="225"/>
          <w:marBottom w:val="0"/>
          <w:divBdr>
            <w:top w:val="none" w:sz="0" w:space="0" w:color="auto"/>
            <w:left w:val="none" w:sz="0" w:space="0" w:color="auto"/>
            <w:bottom w:val="none" w:sz="0" w:space="0" w:color="auto"/>
            <w:right w:val="none" w:sz="0" w:space="0" w:color="auto"/>
          </w:divBdr>
        </w:div>
      </w:divsChild>
    </w:div>
    <w:div w:id="662440219">
      <w:bodyDiv w:val="1"/>
      <w:marLeft w:val="0"/>
      <w:marRight w:val="0"/>
      <w:marTop w:val="0"/>
      <w:marBottom w:val="0"/>
      <w:divBdr>
        <w:top w:val="none" w:sz="0" w:space="0" w:color="auto"/>
        <w:left w:val="none" w:sz="0" w:space="0" w:color="auto"/>
        <w:bottom w:val="none" w:sz="0" w:space="0" w:color="auto"/>
        <w:right w:val="none" w:sz="0" w:space="0" w:color="auto"/>
      </w:divBdr>
    </w:div>
    <w:div w:id="824199194">
      <w:bodyDiv w:val="1"/>
      <w:marLeft w:val="0"/>
      <w:marRight w:val="0"/>
      <w:marTop w:val="0"/>
      <w:marBottom w:val="0"/>
      <w:divBdr>
        <w:top w:val="none" w:sz="0" w:space="0" w:color="auto"/>
        <w:left w:val="none" w:sz="0" w:space="0" w:color="auto"/>
        <w:bottom w:val="none" w:sz="0" w:space="0" w:color="auto"/>
        <w:right w:val="none" w:sz="0" w:space="0" w:color="auto"/>
      </w:divBdr>
    </w:div>
    <w:div w:id="964965733">
      <w:bodyDiv w:val="1"/>
      <w:marLeft w:val="0"/>
      <w:marRight w:val="0"/>
      <w:marTop w:val="0"/>
      <w:marBottom w:val="0"/>
      <w:divBdr>
        <w:top w:val="none" w:sz="0" w:space="0" w:color="auto"/>
        <w:left w:val="none" w:sz="0" w:space="0" w:color="auto"/>
        <w:bottom w:val="none" w:sz="0" w:space="0" w:color="auto"/>
        <w:right w:val="none" w:sz="0" w:space="0" w:color="auto"/>
      </w:divBdr>
      <w:divsChild>
        <w:div w:id="1428843529">
          <w:marLeft w:val="0"/>
          <w:marRight w:val="0"/>
          <w:marTop w:val="0"/>
          <w:marBottom w:val="0"/>
          <w:divBdr>
            <w:top w:val="none" w:sz="0" w:space="0" w:color="auto"/>
            <w:left w:val="none" w:sz="0" w:space="0" w:color="auto"/>
            <w:bottom w:val="none" w:sz="0" w:space="0" w:color="auto"/>
            <w:right w:val="none" w:sz="0" w:space="0" w:color="auto"/>
          </w:divBdr>
        </w:div>
      </w:divsChild>
    </w:div>
    <w:div w:id="967660468">
      <w:bodyDiv w:val="1"/>
      <w:marLeft w:val="0"/>
      <w:marRight w:val="0"/>
      <w:marTop w:val="0"/>
      <w:marBottom w:val="0"/>
      <w:divBdr>
        <w:top w:val="none" w:sz="0" w:space="0" w:color="auto"/>
        <w:left w:val="none" w:sz="0" w:space="0" w:color="auto"/>
        <w:bottom w:val="none" w:sz="0" w:space="0" w:color="auto"/>
        <w:right w:val="none" w:sz="0" w:space="0" w:color="auto"/>
      </w:divBdr>
    </w:div>
    <w:div w:id="1025212109">
      <w:bodyDiv w:val="1"/>
      <w:marLeft w:val="0"/>
      <w:marRight w:val="0"/>
      <w:marTop w:val="0"/>
      <w:marBottom w:val="0"/>
      <w:divBdr>
        <w:top w:val="none" w:sz="0" w:space="0" w:color="auto"/>
        <w:left w:val="none" w:sz="0" w:space="0" w:color="auto"/>
        <w:bottom w:val="none" w:sz="0" w:space="0" w:color="auto"/>
        <w:right w:val="none" w:sz="0" w:space="0" w:color="auto"/>
      </w:divBdr>
    </w:div>
    <w:div w:id="1137801219">
      <w:bodyDiv w:val="1"/>
      <w:marLeft w:val="0"/>
      <w:marRight w:val="0"/>
      <w:marTop w:val="0"/>
      <w:marBottom w:val="0"/>
      <w:divBdr>
        <w:top w:val="none" w:sz="0" w:space="0" w:color="auto"/>
        <w:left w:val="none" w:sz="0" w:space="0" w:color="auto"/>
        <w:bottom w:val="none" w:sz="0" w:space="0" w:color="auto"/>
        <w:right w:val="none" w:sz="0" w:space="0" w:color="auto"/>
      </w:divBdr>
    </w:div>
    <w:div w:id="1172841965">
      <w:bodyDiv w:val="1"/>
      <w:marLeft w:val="0"/>
      <w:marRight w:val="0"/>
      <w:marTop w:val="0"/>
      <w:marBottom w:val="0"/>
      <w:divBdr>
        <w:top w:val="none" w:sz="0" w:space="0" w:color="auto"/>
        <w:left w:val="none" w:sz="0" w:space="0" w:color="auto"/>
        <w:bottom w:val="none" w:sz="0" w:space="0" w:color="auto"/>
        <w:right w:val="none" w:sz="0" w:space="0" w:color="auto"/>
      </w:divBdr>
      <w:divsChild>
        <w:div w:id="2139954817">
          <w:marLeft w:val="0"/>
          <w:marRight w:val="0"/>
          <w:marTop w:val="0"/>
          <w:marBottom w:val="0"/>
          <w:divBdr>
            <w:top w:val="none" w:sz="0" w:space="0" w:color="auto"/>
            <w:left w:val="none" w:sz="0" w:space="0" w:color="auto"/>
            <w:bottom w:val="none" w:sz="0" w:space="0" w:color="auto"/>
            <w:right w:val="none" w:sz="0" w:space="0" w:color="auto"/>
          </w:divBdr>
        </w:div>
      </w:divsChild>
    </w:div>
    <w:div w:id="1187134895">
      <w:bodyDiv w:val="1"/>
      <w:marLeft w:val="0"/>
      <w:marRight w:val="0"/>
      <w:marTop w:val="0"/>
      <w:marBottom w:val="0"/>
      <w:divBdr>
        <w:top w:val="none" w:sz="0" w:space="0" w:color="auto"/>
        <w:left w:val="none" w:sz="0" w:space="0" w:color="auto"/>
        <w:bottom w:val="none" w:sz="0" w:space="0" w:color="auto"/>
        <w:right w:val="none" w:sz="0" w:space="0" w:color="auto"/>
      </w:divBdr>
    </w:div>
    <w:div w:id="1430810902">
      <w:bodyDiv w:val="1"/>
      <w:marLeft w:val="0"/>
      <w:marRight w:val="0"/>
      <w:marTop w:val="0"/>
      <w:marBottom w:val="0"/>
      <w:divBdr>
        <w:top w:val="none" w:sz="0" w:space="0" w:color="auto"/>
        <w:left w:val="none" w:sz="0" w:space="0" w:color="auto"/>
        <w:bottom w:val="none" w:sz="0" w:space="0" w:color="auto"/>
        <w:right w:val="none" w:sz="0" w:space="0" w:color="auto"/>
      </w:divBdr>
    </w:div>
    <w:div w:id="1437865255">
      <w:bodyDiv w:val="1"/>
      <w:marLeft w:val="0"/>
      <w:marRight w:val="0"/>
      <w:marTop w:val="0"/>
      <w:marBottom w:val="0"/>
      <w:divBdr>
        <w:top w:val="none" w:sz="0" w:space="0" w:color="auto"/>
        <w:left w:val="none" w:sz="0" w:space="0" w:color="auto"/>
        <w:bottom w:val="none" w:sz="0" w:space="0" w:color="auto"/>
        <w:right w:val="none" w:sz="0" w:space="0" w:color="auto"/>
      </w:divBdr>
    </w:div>
    <w:div w:id="1453598483">
      <w:bodyDiv w:val="1"/>
      <w:marLeft w:val="0"/>
      <w:marRight w:val="0"/>
      <w:marTop w:val="0"/>
      <w:marBottom w:val="0"/>
      <w:divBdr>
        <w:top w:val="none" w:sz="0" w:space="0" w:color="auto"/>
        <w:left w:val="none" w:sz="0" w:space="0" w:color="auto"/>
        <w:bottom w:val="none" w:sz="0" w:space="0" w:color="auto"/>
        <w:right w:val="none" w:sz="0" w:space="0" w:color="auto"/>
      </w:divBdr>
    </w:div>
    <w:div w:id="1482311660">
      <w:bodyDiv w:val="1"/>
      <w:marLeft w:val="0"/>
      <w:marRight w:val="0"/>
      <w:marTop w:val="0"/>
      <w:marBottom w:val="0"/>
      <w:divBdr>
        <w:top w:val="none" w:sz="0" w:space="0" w:color="auto"/>
        <w:left w:val="none" w:sz="0" w:space="0" w:color="auto"/>
        <w:bottom w:val="none" w:sz="0" w:space="0" w:color="auto"/>
        <w:right w:val="none" w:sz="0" w:space="0" w:color="auto"/>
      </w:divBdr>
    </w:div>
    <w:div w:id="1490707311">
      <w:bodyDiv w:val="1"/>
      <w:marLeft w:val="0"/>
      <w:marRight w:val="0"/>
      <w:marTop w:val="0"/>
      <w:marBottom w:val="0"/>
      <w:divBdr>
        <w:top w:val="none" w:sz="0" w:space="0" w:color="auto"/>
        <w:left w:val="none" w:sz="0" w:space="0" w:color="auto"/>
        <w:bottom w:val="none" w:sz="0" w:space="0" w:color="auto"/>
        <w:right w:val="none" w:sz="0" w:space="0" w:color="auto"/>
      </w:divBdr>
      <w:divsChild>
        <w:div w:id="1113866046">
          <w:marLeft w:val="0"/>
          <w:marRight w:val="0"/>
          <w:marTop w:val="0"/>
          <w:marBottom w:val="0"/>
          <w:divBdr>
            <w:top w:val="none" w:sz="0" w:space="0" w:color="auto"/>
            <w:left w:val="none" w:sz="0" w:space="0" w:color="auto"/>
            <w:bottom w:val="none" w:sz="0" w:space="0" w:color="auto"/>
            <w:right w:val="none" w:sz="0" w:space="0" w:color="auto"/>
          </w:divBdr>
        </w:div>
      </w:divsChild>
    </w:div>
    <w:div w:id="1501239244">
      <w:bodyDiv w:val="1"/>
      <w:marLeft w:val="0"/>
      <w:marRight w:val="0"/>
      <w:marTop w:val="0"/>
      <w:marBottom w:val="0"/>
      <w:divBdr>
        <w:top w:val="none" w:sz="0" w:space="0" w:color="auto"/>
        <w:left w:val="none" w:sz="0" w:space="0" w:color="auto"/>
        <w:bottom w:val="none" w:sz="0" w:space="0" w:color="auto"/>
        <w:right w:val="none" w:sz="0" w:space="0" w:color="auto"/>
      </w:divBdr>
      <w:divsChild>
        <w:div w:id="1617176634">
          <w:marLeft w:val="0"/>
          <w:marRight w:val="0"/>
          <w:marTop w:val="0"/>
          <w:marBottom w:val="0"/>
          <w:divBdr>
            <w:top w:val="none" w:sz="0" w:space="0" w:color="auto"/>
            <w:left w:val="none" w:sz="0" w:space="0" w:color="auto"/>
            <w:bottom w:val="none" w:sz="0" w:space="0" w:color="auto"/>
            <w:right w:val="none" w:sz="0" w:space="0" w:color="auto"/>
          </w:divBdr>
        </w:div>
      </w:divsChild>
    </w:div>
    <w:div w:id="1508400644">
      <w:bodyDiv w:val="1"/>
      <w:marLeft w:val="0"/>
      <w:marRight w:val="0"/>
      <w:marTop w:val="0"/>
      <w:marBottom w:val="0"/>
      <w:divBdr>
        <w:top w:val="none" w:sz="0" w:space="0" w:color="auto"/>
        <w:left w:val="none" w:sz="0" w:space="0" w:color="auto"/>
        <w:bottom w:val="none" w:sz="0" w:space="0" w:color="auto"/>
        <w:right w:val="none" w:sz="0" w:space="0" w:color="auto"/>
      </w:divBdr>
    </w:div>
    <w:div w:id="1534229342">
      <w:bodyDiv w:val="1"/>
      <w:marLeft w:val="0"/>
      <w:marRight w:val="0"/>
      <w:marTop w:val="0"/>
      <w:marBottom w:val="0"/>
      <w:divBdr>
        <w:top w:val="none" w:sz="0" w:space="0" w:color="auto"/>
        <w:left w:val="none" w:sz="0" w:space="0" w:color="auto"/>
        <w:bottom w:val="none" w:sz="0" w:space="0" w:color="auto"/>
        <w:right w:val="none" w:sz="0" w:space="0" w:color="auto"/>
      </w:divBdr>
    </w:div>
    <w:div w:id="1540630290">
      <w:bodyDiv w:val="1"/>
      <w:marLeft w:val="0"/>
      <w:marRight w:val="0"/>
      <w:marTop w:val="0"/>
      <w:marBottom w:val="0"/>
      <w:divBdr>
        <w:top w:val="none" w:sz="0" w:space="0" w:color="auto"/>
        <w:left w:val="none" w:sz="0" w:space="0" w:color="auto"/>
        <w:bottom w:val="none" w:sz="0" w:space="0" w:color="auto"/>
        <w:right w:val="none" w:sz="0" w:space="0" w:color="auto"/>
      </w:divBdr>
    </w:div>
    <w:div w:id="1544632702">
      <w:bodyDiv w:val="1"/>
      <w:marLeft w:val="0"/>
      <w:marRight w:val="0"/>
      <w:marTop w:val="0"/>
      <w:marBottom w:val="0"/>
      <w:divBdr>
        <w:top w:val="none" w:sz="0" w:space="0" w:color="auto"/>
        <w:left w:val="none" w:sz="0" w:space="0" w:color="auto"/>
        <w:bottom w:val="none" w:sz="0" w:space="0" w:color="auto"/>
        <w:right w:val="none" w:sz="0" w:space="0" w:color="auto"/>
      </w:divBdr>
    </w:div>
    <w:div w:id="1632205465">
      <w:bodyDiv w:val="1"/>
      <w:marLeft w:val="0"/>
      <w:marRight w:val="0"/>
      <w:marTop w:val="0"/>
      <w:marBottom w:val="0"/>
      <w:divBdr>
        <w:top w:val="none" w:sz="0" w:space="0" w:color="auto"/>
        <w:left w:val="none" w:sz="0" w:space="0" w:color="auto"/>
        <w:bottom w:val="none" w:sz="0" w:space="0" w:color="auto"/>
        <w:right w:val="none" w:sz="0" w:space="0" w:color="auto"/>
      </w:divBdr>
    </w:div>
    <w:div w:id="1667973407">
      <w:bodyDiv w:val="1"/>
      <w:marLeft w:val="0"/>
      <w:marRight w:val="0"/>
      <w:marTop w:val="0"/>
      <w:marBottom w:val="0"/>
      <w:divBdr>
        <w:top w:val="none" w:sz="0" w:space="0" w:color="auto"/>
        <w:left w:val="none" w:sz="0" w:space="0" w:color="auto"/>
        <w:bottom w:val="none" w:sz="0" w:space="0" w:color="auto"/>
        <w:right w:val="none" w:sz="0" w:space="0" w:color="auto"/>
      </w:divBdr>
      <w:divsChild>
        <w:div w:id="1864127196">
          <w:marLeft w:val="0"/>
          <w:marRight w:val="0"/>
          <w:marTop w:val="225"/>
          <w:marBottom w:val="0"/>
          <w:divBdr>
            <w:top w:val="none" w:sz="0" w:space="0" w:color="auto"/>
            <w:left w:val="none" w:sz="0" w:space="0" w:color="auto"/>
            <w:bottom w:val="none" w:sz="0" w:space="0" w:color="auto"/>
            <w:right w:val="none" w:sz="0" w:space="0" w:color="auto"/>
          </w:divBdr>
        </w:div>
      </w:divsChild>
    </w:div>
    <w:div w:id="1963032068">
      <w:bodyDiv w:val="1"/>
      <w:marLeft w:val="0"/>
      <w:marRight w:val="0"/>
      <w:marTop w:val="0"/>
      <w:marBottom w:val="0"/>
      <w:divBdr>
        <w:top w:val="none" w:sz="0" w:space="0" w:color="auto"/>
        <w:left w:val="none" w:sz="0" w:space="0" w:color="auto"/>
        <w:bottom w:val="none" w:sz="0" w:space="0" w:color="auto"/>
        <w:right w:val="none" w:sz="0" w:space="0" w:color="auto"/>
      </w:divBdr>
    </w:div>
    <w:div w:id="1993215709">
      <w:bodyDiv w:val="1"/>
      <w:marLeft w:val="0"/>
      <w:marRight w:val="0"/>
      <w:marTop w:val="0"/>
      <w:marBottom w:val="0"/>
      <w:divBdr>
        <w:top w:val="none" w:sz="0" w:space="0" w:color="auto"/>
        <w:left w:val="none" w:sz="0" w:space="0" w:color="auto"/>
        <w:bottom w:val="none" w:sz="0" w:space="0" w:color="auto"/>
        <w:right w:val="none" w:sz="0" w:space="0" w:color="auto"/>
      </w:divBdr>
    </w:div>
    <w:div w:id="2004115937">
      <w:bodyDiv w:val="1"/>
      <w:marLeft w:val="0"/>
      <w:marRight w:val="0"/>
      <w:marTop w:val="0"/>
      <w:marBottom w:val="0"/>
      <w:divBdr>
        <w:top w:val="none" w:sz="0" w:space="0" w:color="auto"/>
        <w:left w:val="none" w:sz="0" w:space="0" w:color="auto"/>
        <w:bottom w:val="none" w:sz="0" w:space="0" w:color="auto"/>
        <w:right w:val="none" w:sz="0" w:space="0" w:color="auto"/>
      </w:divBdr>
      <w:divsChild>
        <w:div w:id="391852769">
          <w:marLeft w:val="0"/>
          <w:marRight w:val="0"/>
          <w:marTop w:val="0"/>
          <w:marBottom w:val="0"/>
          <w:divBdr>
            <w:top w:val="none" w:sz="0" w:space="0" w:color="auto"/>
            <w:left w:val="none" w:sz="0" w:space="0" w:color="auto"/>
            <w:bottom w:val="none" w:sz="0" w:space="0" w:color="auto"/>
            <w:right w:val="none" w:sz="0" w:space="0" w:color="auto"/>
          </w:divBdr>
          <w:divsChild>
            <w:div w:id="2018385032">
              <w:marLeft w:val="0"/>
              <w:marRight w:val="0"/>
              <w:marTop w:val="0"/>
              <w:marBottom w:val="0"/>
              <w:divBdr>
                <w:top w:val="none" w:sz="0" w:space="0" w:color="auto"/>
                <w:left w:val="none" w:sz="0" w:space="0" w:color="auto"/>
                <w:bottom w:val="none" w:sz="0" w:space="0" w:color="auto"/>
                <w:right w:val="none" w:sz="0" w:space="0" w:color="auto"/>
              </w:divBdr>
              <w:divsChild>
                <w:div w:id="1796286119">
                  <w:marLeft w:val="0"/>
                  <w:marRight w:val="0"/>
                  <w:marTop w:val="0"/>
                  <w:marBottom w:val="0"/>
                  <w:divBdr>
                    <w:top w:val="none" w:sz="0" w:space="0" w:color="auto"/>
                    <w:left w:val="none" w:sz="0" w:space="0" w:color="auto"/>
                    <w:bottom w:val="none" w:sz="0" w:space="0" w:color="auto"/>
                    <w:right w:val="none" w:sz="0" w:space="0" w:color="auto"/>
                  </w:divBdr>
                  <w:divsChild>
                    <w:div w:id="455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116253">
      <w:bodyDiv w:val="1"/>
      <w:marLeft w:val="0"/>
      <w:marRight w:val="0"/>
      <w:marTop w:val="0"/>
      <w:marBottom w:val="0"/>
      <w:divBdr>
        <w:top w:val="none" w:sz="0" w:space="0" w:color="auto"/>
        <w:left w:val="none" w:sz="0" w:space="0" w:color="auto"/>
        <w:bottom w:val="none" w:sz="0" w:space="0" w:color="auto"/>
        <w:right w:val="none" w:sz="0" w:space="0" w:color="auto"/>
      </w:divBdr>
    </w:div>
    <w:div w:id="211520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iconsortium.subst-abuse.uiowa.edu/" TargetMode="External"/><Relationship Id="rId26" Type="http://schemas.openxmlformats.org/officeDocument/2006/relationships/hyperlink" Target="https://www.zerotothree.org/wp-content/uploads/2022/04/The-Core-Components-of-the-Safe-Babies-Court-Team-Approach.pdf" TargetMode="External"/><Relationship Id="rId39" Type="http://schemas.openxmlformats.org/officeDocument/2006/relationships/hyperlink" Target="https://onlinelibrary.wiley.com/doi/book/10.1002/9781394260645" TargetMode="External"/><Relationship Id="rId21" Type="http://schemas.openxmlformats.org/officeDocument/2006/relationships/hyperlink" Target="https://pubhealtheval.org.uiowa.edu" TargetMode="External"/><Relationship Id="rId34" Type="http://schemas.openxmlformats.org/officeDocument/2006/relationships/image" Target="media/image14.png"/><Relationship Id="rId42" Type="http://schemas.openxmlformats.org/officeDocument/2006/relationships/hyperlink" Target="http://www.zerotothree.org"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rcfcp.uiowa.edu/" TargetMode="External"/><Relationship Id="rId29" Type="http://schemas.openxmlformats.org/officeDocument/2006/relationships/hyperlink" Target="https://pmc.ncbi.nlm.nih.gov/articles/PMC7894977/" TargetMode="External"/><Relationship Id="rId11" Type="http://schemas.openxmlformats.org/officeDocument/2006/relationships/image" Target="media/image5.png"/><Relationship Id="rId24" Type="http://schemas.openxmlformats.org/officeDocument/2006/relationships/hyperlink" Target="https://doi.org/10.1016/j.childyouth.2023.106956"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journals.sagepub.com/doi/10.1177/00333549141291S211"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yperlink" Target="https://nrcfcp.uiowa.edu/"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rhonda.rairden-nelson@hhs.iowa.gov" TargetMode="External"/><Relationship Id="rId31" Type="http://schemas.openxmlformats.org/officeDocument/2006/relationships/image" Target="media/image12.png"/><Relationship Id="rId44" Type="http://schemas.openxmlformats.org/officeDocument/2006/relationships/hyperlink" Target="https://doi.org/10.3390/ijerph1613236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mailto:brad-richardson@uiowa.edu"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doi.org/10.1002/ajcp.12375"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6.wmf"/><Relationship Id="rId17" Type="http://schemas.openxmlformats.org/officeDocument/2006/relationships/image" Target="media/image8.png"/><Relationship Id="rId25" Type="http://schemas.openxmlformats.org/officeDocument/2006/relationships/hyperlink" Target="https://www.zerotothree.org/wp-content/uploads/2022/04/The-Core-Components-of-the-Safe-Babies-Court-Team-Approach.pdf" TargetMode="External"/><Relationship Id="rId33" Type="http://schemas.openxmlformats.org/officeDocument/2006/relationships/hyperlink" Target="https://www.mdpi.com/1660-4601/16/13/2365" TargetMode="External"/><Relationship Id="rId38" Type="http://schemas.openxmlformats.org/officeDocument/2006/relationships/hyperlink" Target="https://doi.org/10.1177/10775595251363456" TargetMode="External"/><Relationship Id="rId46" Type="http://schemas.openxmlformats.org/officeDocument/2006/relationships/header" Target="header2.xml"/><Relationship Id="rId20" Type="http://schemas.openxmlformats.org/officeDocument/2006/relationships/hyperlink" Target="mailto:xueying-gao@uiowa.edu" TargetMode="External"/><Relationship Id="rId41" Type="http://schemas.openxmlformats.org/officeDocument/2006/relationships/hyperlink" Target="https://doi.org/10.1016/j.childyouth.2023.106956"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A77F30FEC59D4784836AE2239F991B" ma:contentTypeVersion="4" ma:contentTypeDescription="Create a new document." ma:contentTypeScope="" ma:versionID="a6a700db0fa60b375caf7c9d9ad974c3">
  <xsd:schema xmlns:xsd="http://www.w3.org/2001/XMLSchema" xmlns:xs="http://www.w3.org/2001/XMLSchema" xmlns:p="http://schemas.microsoft.com/office/2006/metadata/properties" xmlns:ns2="2167464d-fb86-42ae-ac57-d823c915aaac" targetNamespace="http://schemas.microsoft.com/office/2006/metadata/properties" ma:root="true" ma:fieldsID="d243cfb717c6121c537f10961803e4c1" ns2:_="">
    <xsd:import namespace="2167464d-fb86-42ae-ac57-d823c915aa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7464d-fb86-42ae-ac57-d823c915a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233B1BEF-A60A-4DB8-86E1-4BF1205117D0}">
  <ds:schemaRefs>
    <ds:schemaRef ds:uri="http://schemas.microsoft.com/sharepoint/v3/contenttype/forms"/>
  </ds:schemaRefs>
</ds:datastoreItem>
</file>

<file path=customXml/itemProps3.xml><?xml version="1.0" encoding="utf-8"?>
<ds:datastoreItem xmlns:ds="http://schemas.openxmlformats.org/officeDocument/2006/customXml" ds:itemID="{50321EEA-AD1C-491D-A3C2-B352B00AD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7464d-fb86-42ae-ac57-d823c915a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92DFD-EAA0-40F2-8BFC-08C3CD44C4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6351</Words>
  <Characters>41223</Characters>
  <Application>Microsoft Office Word</Application>
  <DocSecurity>0</DocSecurity>
  <Lines>936</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McCrory, George W</cp:lastModifiedBy>
  <cp:revision>12</cp:revision>
  <cp:lastPrinted>2026-04-10T19:32:00Z</cp:lastPrinted>
  <dcterms:created xsi:type="dcterms:W3CDTF">2026-04-10T19:32:00Z</dcterms:created>
  <dcterms:modified xsi:type="dcterms:W3CDTF">2026-04-13T18:48:00Z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0x010100D4A77F30FEC59D4784836AE2239F991B</vt:lpwstr>
  </property>
</Properties>
</file>